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43CD" w14:textId="77777777" w:rsidR="004C5EAC" w:rsidRPr="008D3862" w:rsidRDefault="004C5EAC" w:rsidP="00D86CE6">
      <w:pPr>
        <w:rPr>
          <w:rFonts w:ascii="Times New Roman" w:hAnsi="Times New Roman" w:cs="Times New Roman"/>
          <w:b/>
        </w:rPr>
      </w:pPr>
      <w:r w:rsidRPr="008D3862">
        <w:rPr>
          <w:rFonts w:ascii="Times New Roman" w:hAnsi="Times New Roman" w:cs="Times New Roman"/>
          <w:b/>
        </w:rPr>
        <w:t>GRADSKA KNJIŽNICA LABIN</w:t>
      </w:r>
    </w:p>
    <w:p w14:paraId="1546F6CD" w14:textId="77777777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Rudarska 1A</w:t>
      </w:r>
    </w:p>
    <w:p w14:paraId="5E76DC87" w14:textId="77777777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52220 LABIN</w:t>
      </w:r>
    </w:p>
    <w:p w14:paraId="10F720E1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MB: 02127679</w:t>
      </w:r>
    </w:p>
    <w:p w14:paraId="73B5188C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OIB:68585857405</w:t>
      </w:r>
    </w:p>
    <w:p w14:paraId="057BB7A3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Razdjel 000</w:t>
      </w:r>
    </w:p>
    <w:p w14:paraId="76409698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Šifra djelatnosti: 9101</w:t>
      </w:r>
    </w:p>
    <w:p w14:paraId="26DE2FC5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Razina 21</w:t>
      </w:r>
    </w:p>
    <w:p w14:paraId="34DB576F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RKP: 42266</w:t>
      </w:r>
    </w:p>
    <w:p w14:paraId="5DB60002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</w:rPr>
        <w:t>Iban</w:t>
      </w:r>
      <w:r w:rsidRPr="00004FD9">
        <w:rPr>
          <w:rFonts w:ascii="Times New Roman" w:hAnsi="Times New Roman" w:cs="Times New Roman"/>
          <w:b/>
          <w:bCs/>
        </w:rPr>
        <w:t xml:space="preserve">: HR4523400091822200000 (riznica Grada Labina)          </w:t>
      </w:r>
    </w:p>
    <w:p w14:paraId="2A2B3FE5" w14:textId="77777777" w:rsidR="004C5EAC" w:rsidRPr="00004FD9" w:rsidRDefault="004C5EAC" w:rsidP="004C5E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83EEEA2" w14:textId="77777777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0155B0C5" w14:textId="77777777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4F6B28F7" w14:textId="77777777" w:rsidR="004C5EAC" w:rsidRPr="00004FD9" w:rsidRDefault="004C5EAC" w:rsidP="004C5E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BILJEŠKE</w:t>
      </w:r>
    </w:p>
    <w:p w14:paraId="5D0F7CCC" w14:textId="62C2F120" w:rsidR="004C5EAC" w:rsidRPr="00004FD9" w:rsidRDefault="004C5EAC" w:rsidP="004C5E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za razdoblje od 01. siječnja do 31. prosinca 202</w:t>
      </w:r>
      <w:r w:rsidR="00FE2FA3">
        <w:rPr>
          <w:rFonts w:ascii="Times New Roman" w:hAnsi="Times New Roman" w:cs="Times New Roman"/>
          <w:b/>
          <w:bCs/>
        </w:rPr>
        <w:t>3</w:t>
      </w:r>
      <w:r w:rsidRPr="00004FD9">
        <w:rPr>
          <w:rFonts w:ascii="Times New Roman" w:hAnsi="Times New Roman" w:cs="Times New Roman"/>
          <w:b/>
          <w:bCs/>
        </w:rPr>
        <w:t>. godine</w:t>
      </w:r>
    </w:p>
    <w:p w14:paraId="36338716" w14:textId="77777777" w:rsidR="004C5EAC" w:rsidRPr="00004FD9" w:rsidRDefault="004C5EAC" w:rsidP="004C5E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D21CD3" w14:textId="77777777" w:rsidR="004C5EAC" w:rsidRPr="00826EE3" w:rsidRDefault="004C5EAC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04FD9">
        <w:rPr>
          <w:rFonts w:ascii="Times New Roman" w:hAnsi="Times New Roman" w:cs="Times New Roman"/>
          <w:bCs/>
        </w:rPr>
        <w:t>Gradska knjižnica Labin narodna je knjižnica. Osnivač knjižnice je Grad Labin. Knjižnica je osnovana na temelju Odluke o osnivanju Javne ustanove Gradska knjižnica Labin od 28. travnja  2006. godine, 31. ožujka 2014. i od 26. lipnja 2019. godine te upisana u registarskom ulošku registarskog suda pod brojem Tt – 13/9101-6.</w:t>
      </w:r>
      <w:r w:rsidR="00E04A58">
        <w:rPr>
          <w:rFonts w:ascii="Times New Roman" w:hAnsi="Times New Roman" w:cs="Times New Roman"/>
          <w:bCs/>
        </w:rPr>
        <w:t xml:space="preserve"> </w:t>
      </w:r>
      <w:r w:rsidR="00E04A58" w:rsidRPr="00826EE3">
        <w:rPr>
          <w:rFonts w:ascii="Times New Roman" w:hAnsi="Times New Roman"/>
        </w:rPr>
        <w:t>Od 15. listopada 2013. godine Knjižnica djeluje u ulici Rudarska 1/A, u takozvanoj mramornoj dvorani, u prostoru nekadašnje direkcije Istarskih ugljenokopa Raša, koji zajedno s preostalim dijelom rudarsko-industrijskog kompleksa na Pijacalu čini zaštićeno kulturno dobro rudarske baštine.</w:t>
      </w:r>
    </w:p>
    <w:p w14:paraId="24A8AF95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  <w:bCs/>
        </w:rPr>
      </w:pPr>
    </w:p>
    <w:p w14:paraId="7664B461" w14:textId="55EAA66D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 Za obračunsko razdoblje siječanj</w:t>
      </w:r>
      <w:r w:rsidR="00A40B75">
        <w:rPr>
          <w:rFonts w:ascii="Times New Roman" w:hAnsi="Times New Roman" w:cs="Times New Roman"/>
        </w:rPr>
        <w:t xml:space="preserve"> – </w:t>
      </w:r>
      <w:r w:rsidRPr="00004FD9">
        <w:rPr>
          <w:rFonts w:ascii="Times New Roman" w:hAnsi="Times New Roman" w:cs="Times New Roman"/>
        </w:rPr>
        <w:t>prosinac 202</w:t>
      </w:r>
      <w:r w:rsidR="00FE2FA3">
        <w:rPr>
          <w:rFonts w:ascii="Times New Roman" w:hAnsi="Times New Roman" w:cs="Times New Roman"/>
        </w:rPr>
        <w:t>3</w:t>
      </w:r>
      <w:r w:rsidRPr="00004FD9">
        <w:rPr>
          <w:rFonts w:ascii="Times New Roman" w:hAnsi="Times New Roman" w:cs="Times New Roman"/>
        </w:rPr>
        <w:t>. godine izrađeni su sljedeći izvještaji:</w:t>
      </w:r>
    </w:p>
    <w:p w14:paraId="1068D17F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- Izvještaj o prihodima i rashodima, primicima i izdacima, na obrascu PR-RAS,</w:t>
      </w:r>
    </w:p>
    <w:p w14:paraId="2039AA1D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- Izvještaj o rashodima prema funkcijskoj klasifikaciji, na obrascu RAS-funkcijski,</w:t>
      </w:r>
    </w:p>
    <w:p w14:paraId="5F3FDE1E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- Bilanca, na obrascu BIL</w:t>
      </w:r>
    </w:p>
    <w:p w14:paraId="30391EF5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- Izvještaj o obvezama, na obrascu Obveze</w:t>
      </w:r>
    </w:p>
    <w:p w14:paraId="1A6572B9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- Izvještaj o promjenama u vrijednosti i obujmu imovine, na obrascu P-VRIO</w:t>
      </w:r>
    </w:p>
    <w:p w14:paraId="40EEF541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</w:rPr>
      </w:pPr>
    </w:p>
    <w:p w14:paraId="2A43947C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04FD9">
        <w:rPr>
          <w:rFonts w:ascii="Times New Roman" w:hAnsi="Times New Roman" w:cs="Times New Roman"/>
          <w:b/>
          <w:bCs/>
          <w:u w:val="single"/>
        </w:rPr>
        <w:lastRenderedPageBreak/>
        <w:t>BILJEŠKE UZ PR-RAS</w:t>
      </w:r>
    </w:p>
    <w:p w14:paraId="7DA412AA" w14:textId="77777777" w:rsidR="004C5EAC" w:rsidRPr="00004FD9" w:rsidRDefault="004C5EAC" w:rsidP="004C5EAC">
      <w:pPr>
        <w:spacing w:line="360" w:lineRule="auto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Prihodi poslovanja</w:t>
      </w:r>
    </w:p>
    <w:p w14:paraId="61693B1E" w14:textId="47D850DE" w:rsidR="00924036" w:rsidRDefault="004C5EAC" w:rsidP="00300A03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Prihodi poslovanja ostvareni su u iznosu od </w:t>
      </w:r>
      <w:r w:rsidR="00BD282A">
        <w:rPr>
          <w:rFonts w:ascii="Times New Roman" w:hAnsi="Times New Roman" w:cs="Times New Roman"/>
        </w:rPr>
        <w:t>178.</w:t>
      </w:r>
      <w:r w:rsidR="00E6374B">
        <w:rPr>
          <w:rFonts w:ascii="Times New Roman" w:hAnsi="Times New Roman" w:cs="Times New Roman"/>
        </w:rPr>
        <w:t>378,</w:t>
      </w:r>
      <w:r w:rsidR="008D1A00">
        <w:rPr>
          <w:rFonts w:ascii="Times New Roman" w:hAnsi="Times New Roman" w:cs="Times New Roman"/>
        </w:rPr>
        <w:t>86</w:t>
      </w:r>
      <w:r w:rsidR="00BD282A">
        <w:rPr>
          <w:rFonts w:ascii="Times New Roman" w:hAnsi="Times New Roman" w:cs="Times New Roman"/>
        </w:rPr>
        <w:t xml:space="preserve"> EUR</w:t>
      </w:r>
      <w:r w:rsidRPr="00004FD9">
        <w:rPr>
          <w:rFonts w:ascii="Times New Roman" w:hAnsi="Times New Roman" w:cs="Times New Roman"/>
        </w:rPr>
        <w:t xml:space="preserve"> što je </w:t>
      </w:r>
      <w:r w:rsidR="00395E5C">
        <w:rPr>
          <w:rFonts w:ascii="Times New Roman" w:hAnsi="Times New Roman" w:cs="Times New Roman"/>
        </w:rPr>
        <w:t>više</w:t>
      </w:r>
      <w:r w:rsidRPr="00004FD9">
        <w:rPr>
          <w:rFonts w:ascii="Times New Roman" w:hAnsi="Times New Roman" w:cs="Times New Roman"/>
        </w:rPr>
        <w:t xml:space="preserve"> za </w:t>
      </w:r>
      <w:r w:rsidR="00BD282A">
        <w:rPr>
          <w:rFonts w:ascii="Times New Roman" w:hAnsi="Times New Roman" w:cs="Times New Roman"/>
        </w:rPr>
        <w:t>19,7</w:t>
      </w:r>
      <w:r w:rsidRPr="00004FD9">
        <w:rPr>
          <w:rFonts w:ascii="Times New Roman" w:hAnsi="Times New Roman" w:cs="Times New Roman"/>
        </w:rPr>
        <w:t>% u odnosu na prethodnu godinu. U prihode poslovanja ulaze prihodi nadležnog proračuna,</w:t>
      </w:r>
      <w:r w:rsidR="002034B8">
        <w:rPr>
          <w:rFonts w:ascii="Times New Roman" w:hAnsi="Times New Roman" w:cs="Times New Roman"/>
        </w:rPr>
        <w:t xml:space="preserve"> </w:t>
      </w:r>
      <w:r w:rsidRPr="00004FD9">
        <w:rPr>
          <w:rFonts w:ascii="Times New Roman" w:hAnsi="Times New Roman" w:cs="Times New Roman"/>
        </w:rPr>
        <w:t xml:space="preserve">pomoći </w:t>
      </w:r>
      <w:r w:rsidRPr="00D86CE6">
        <w:rPr>
          <w:rFonts w:ascii="Times New Roman" w:hAnsi="Times New Roman" w:cs="Times New Roman"/>
          <w:color w:val="000000" w:themeColor="text1"/>
        </w:rPr>
        <w:t>državnog proračuna</w:t>
      </w:r>
      <w:r w:rsidR="00395E5C" w:rsidRPr="00D86CE6">
        <w:rPr>
          <w:rFonts w:ascii="Times New Roman" w:hAnsi="Times New Roman" w:cs="Times New Roman"/>
          <w:color w:val="000000" w:themeColor="text1"/>
        </w:rPr>
        <w:t>,</w:t>
      </w:r>
      <w:r w:rsidRPr="00D86CE6">
        <w:rPr>
          <w:rFonts w:ascii="Times New Roman" w:hAnsi="Times New Roman" w:cs="Times New Roman"/>
          <w:color w:val="000000" w:themeColor="text1"/>
        </w:rPr>
        <w:t xml:space="preserve"> </w:t>
      </w:r>
      <w:r w:rsidR="002034B8" w:rsidRPr="00D86CE6">
        <w:rPr>
          <w:rFonts w:ascii="Times New Roman" w:hAnsi="Times New Roman" w:cs="Times New Roman"/>
          <w:color w:val="000000" w:themeColor="text1"/>
        </w:rPr>
        <w:t>pomoći iz proračuna koji nije nadležan</w:t>
      </w:r>
      <w:r w:rsidR="002034B8">
        <w:rPr>
          <w:rFonts w:ascii="Times New Roman" w:hAnsi="Times New Roman" w:cs="Times New Roman"/>
        </w:rPr>
        <w:t xml:space="preserve">, </w:t>
      </w:r>
      <w:r w:rsidRPr="00004FD9">
        <w:rPr>
          <w:rFonts w:ascii="Times New Roman" w:hAnsi="Times New Roman" w:cs="Times New Roman"/>
        </w:rPr>
        <w:t xml:space="preserve">prihodi od članarina </w:t>
      </w:r>
      <w:r w:rsidR="002034B8">
        <w:rPr>
          <w:rFonts w:ascii="Times New Roman" w:hAnsi="Times New Roman" w:cs="Times New Roman"/>
        </w:rPr>
        <w:t xml:space="preserve">i </w:t>
      </w:r>
      <w:r w:rsidRPr="00004FD9">
        <w:rPr>
          <w:rFonts w:ascii="Times New Roman" w:hAnsi="Times New Roman" w:cs="Times New Roman"/>
        </w:rPr>
        <w:t>od pruženih usluga</w:t>
      </w:r>
      <w:r w:rsidR="002034B8">
        <w:rPr>
          <w:rFonts w:ascii="Times New Roman" w:hAnsi="Times New Roman" w:cs="Times New Roman"/>
        </w:rPr>
        <w:t>,</w:t>
      </w:r>
      <w:r w:rsidR="00D86CE6">
        <w:rPr>
          <w:rFonts w:ascii="Times New Roman" w:hAnsi="Times New Roman" w:cs="Times New Roman"/>
        </w:rPr>
        <w:t xml:space="preserve"> prihodi od nefinancijske imovine</w:t>
      </w:r>
      <w:r w:rsidR="002034B8">
        <w:rPr>
          <w:rFonts w:ascii="Times New Roman" w:hAnsi="Times New Roman" w:cs="Times New Roman"/>
        </w:rPr>
        <w:t xml:space="preserve"> te </w:t>
      </w:r>
      <w:r w:rsidR="002034B8" w:rsidRPr="00D86CE6">
        <w:rPr>
          <w:rFonts w:ascii="Times New Roman" w:hAnsi="Times New Roman" w:cs="Times New Roman"/>
          <w:color w:val="000000" w:themeColor="text1"/>
        </w:rPr>
        <w:t>ostali prihodi</w:t>
      </w:r>
      <w:r w:rsidR="002034B8">
        <w:rPr>
          <w:rFonts w:ascii="Times New Roman" w:hAnsi="Times New Roman" w:cs="Times New Roman"/>
        </w:rPr>
        <w:t>.</w:t>
      </w:r>
    </w:p>
    <w:p w14:paraId="39A71385" w14:textId="77777777" w:rsidR="00300A03" w:rsidRDefault="00300A03" w:rsidP="00300A03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7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1468"/>
        <w:gridCol w:w="1468"/>
      </w:tblGrid>
      <w:tr w:rsidR="00395E5C" w:rsidRPr="00F511B1" w14:paraId="7148ADFF" w14:textId="77777777" w:rsidTr="00395E5C">
        <w:trPr>
          <w:trHeight w:val="202"/>
        </w:trPr>
        <w:tc>
          <w:tcPr>
            <w:tcW w:w="0" w:type="auto"/>
          </w:tcPr>
          <w:p w14:paraId="1D0DDAD9" w14:textId="77777777" w:rsidR="00395E5C" w:rsidRPr="00A32F1F" w:rsidRDefault="00395E5C" w:rsidP="00395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2F1F">
              <w:rPr>
                <w:rFonts w:ascii="Times New Roman" w:hAnsi="Times New Roman" w:cs="Times New Roman"/>
                <w:color w:val="000000" w:themeColor="text1"/>
              </w:rPr>
              <w:t>Pomoći od subjekta unutar općeg proračuna</w:t>
            </w:r>
          </w:p>
        </w:tc>
        <w:tc>
          <w:tcPr>
            <w:tcW w:w="1468" w:type="dxa"/>
          </w:tcPr>
          <w:p w14:paraId="37916E5B" w14:textId="77777777" w:rsidR="00395E5C" w:rsidRPr="00A32F1F" w:rsidRDefault="002D46A9" w:rsidP="002D46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2F1F">
              <w:rPr>
                <w:rFonts w:ascii="Times New Roman" w:hAnsi="Times New Roman" w:cs="Times New Roman"/>
                <w:bCs/>
                <w:color w:val="000000" w:themeColor="text1"/>
              </w:rPr>
              <w:t>63</w:t>
            </w:r>
          </w:p>
        </w:tc>
        <w:tc>
          <w:tcPr>
            <w:tcW w:w="1468" w:type="dxa"/>
          </w:tcPr>
          <w:p w14:paraId="61436363" w14:textId="2B0AFA10" w:rsidR="00395E5C" w:rsidRPr="00A32F1F" w:rsidRDefault="00BD282A" w:rsidP="00395E5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21.348,25</w:t>
            </w:r>
          </w:p>
        </w:tc>
      </w:tr>
      <w:tr w:rsidR="00395E5C" w:rsidRPr="00F511B1" w14:paraId="415EF615" w14:textId="77777777" w:rsidTr="002D46A9">
        <w:trPr>
          <w:trHeight w:val="659"/>
        </w:trPr>
        <w:tc>
          <w:tcPr>
            <w:tcW w:w="0" w:type="auto"/>
          </w:tcPr>
          <w:p w14:paraId="0C47F219" w14:textId="77777777" w:rsidR="00395E5C" w:rsidRPr="00ED4063" w:rsidRDefault="00395E5C" w:rsidP="00082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Prihodi od administrativnih pristojbi i pristojbi po posebnim propisima</w:t>
            </w:r>
          </w:p>
        </w:tc>
        <w:tc>
          <w:tcPr>
            <w:tcW w:w="1468" w:type="dxa"/>
          </w:tcPr>
          <w:p w14:paraId="3F1F5045" w14:textId="77777777" w:rsidR="00395E5C" w:rsidRPr="0054567A" w:rsidRDefault="002D46A9" w:rsidP="002D4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68" w:type="dxa"/>
          </w:tcPr>
          <w:p w14:paraId="2F5740D5" w14:textId="3FEEC1F9" w:rsidR="00395E5C" w:rsidRPr="0054567A" w:rsidRDefault="00BD282A" w:rsidP="0008265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14.293,37</w:t>
            </w:r>
          </w:p>
        </w:tc>
      </w:tr>
      <w:tr w:rsidR="00395E5C" w:rsidRPr="00F511B1" w14:paraId="021A08C1" w14:textId="77777777" w:rsidTr="00395E5C">
        <w:trPr>
          <w:trHeight w:val="250"/>
        </w:trPr>
        <w:tc>
          <w:tcPr>
            <w:tcW w:w="0" w:type="auto"/>
          </w:tcPr>
          <w:p w14:paraId="73136123" w14:textId="77777777" w:rsidR="00395E5C" w:rsidRPr="00ED4063" w:rsidRDefault="00395E5C" w:rsidP="00082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Prihodi od prodaje proizvoda i robe te pruženih usluga</w:t>
            </w:r>
          </w:p>
        </w:tc>
        <w:tc>
          <w:tcPr>
            <w:tcW w:w="1468" w:type="dxa"/>
          </w:tcPr>
          <w:p w14:paraId="49826FEE" w14:textId="77777777" w:rsidR="00395E5C" w:rsidRPr="0054567A" w:rsidRDefault="002D46A9" w:rsidP="002D4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468" w:type="dxa"/>
          </w:tcPr>
          <w:p w14:paraId="2C0CCCD0" w14:textId="1925EFA1" w:rsidR="00395E5C" w:rsidRPr="0054567A" w:rsidRDefault="00BD282A" w:rsidP="0008265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3.321,79</w:t>
            </w:r>
          </w:p>
        </w:tc>
      </w:tr>
      <w:tr w:rsidR="00395E5C" w:rsidRPr="005E6661" w14:paraId="6237B4D5" w14:textId="77777777" w:rsidTr="00395E5C">
        <w:trPr>
          <w:trHeight w:val="178"/>
        </w:trPr>
        <w:tc>
          <w:tcPr>
            <w:tcW w:w="0" w:type="auto"/>
          </w:tcPr>
          <w:p w14:paraId="3BCE88A3" w14:textId="77777777" w:rsidR="00395E5C" w:rsidRPr="00ED4063" w:rsidRDefault="00395E5C" w:rsidP="000826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Prihod iz nadležnog proračuna za proračunske korisnike</w:t>
            </w:r>
          </w:p>
        </w:tc>
        <w:tc>
          <w:tcPr>
            <w:tcW w:w="1468" w:type="dxa"/>
          </w:tcPr>
          <w:p w14:paraId="7D5CBBB7" w14:textId="77777777" w:rsidR="00395E5C" w:rsidRPr="0054567A" w:rsidRDefault="002D46A9" w:rsidP="002D4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468" w:type="dxa"/>
          </w:tcPr>
          <w:p w14:paraId="699A5EE7" w14:textId="490BCA56" w:rsidR="00395E5C" w:rsidRPr="0054567A" w:rsidRDefault="00E6374B" w:rsidP="0008265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138.966,</w:t>
            </w:r>
            <w:r w:rsidR="008D1A00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D86CE6" w:rsidRPr="005E6661" w14:paraId="72F845BA" w14:textId="77777777" w:rsidTr="00395E5C">
        <w:trPr>
          <w:trHeight w:val="178"/>
        </w:trPr>
        <w:tc>
          <w:tcPr>
            <w:tcW w:w="0" w:type="auto"/>
          </w:tcPr>
          <w:p w14:paraId="0E214552" w14:textId="77777777" w:rsidR="00D86CE6" w:rsidRDefault="00D86CE6" w:rsidP="00082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1468" w:type="dxa"/>
          </w:tcPr>
          <w:p w14:paraId="2D6D0A85" w14:textId="77777777" w:rsidR="00D86CE6" w:rsidRDefault="00D86CE6" w:rsidP="002D4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68" w:type="dxa"/>
          </w:tcPr>
          <w:p w14:paraId="4B395ED7" w14:textId="015622AF" w:rsidR="00D86CE6" w:rsidRDefault="00BD282A" w:rsidP="0008265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449,00</w:t>
            </w:r>
          </w:p>
        </w:tc>
      </w:tr>
      <w:tr w:rsidR="00395E5C" w:rsidRPr="005E6661" w14:paraId="22E3F8F2" w14:textId="77777777" w:rsidTr="00395E5C">
        <w:trPr>
          <w:trHeight w:val="202"/>
        </w:trPr>
        <w:tc>
          <w:tcPr>
            <w:tcW w:w="0" w:type="auto"/>
          </w:tcPr>
          <w:p w14:paraId="3997F8CA" w14:textId="77777777" w:rsidR="00395E5C" w:rsidRPr="00ED4063" w:rsidRDefault="00395E5C" w:rsidP="00082657">
            <w:pPr>
              <w:rPr>
                <w:rFonts w:ascii="Times New Roman" w:hAnsi="Times New Roman" w:cs="Times New Roman"/>
              </w:rPr>
            </w:pPr>
            <w:r w:rsidRPr="00ED4063">
              <w:rPr>
                <w:rFonts w:ascii="Times New Roman" w:hAnsi="Times New Roman" w:cs="Times New Roman"/>
                <w:b/>
                <w:bCs/>
              </w:rPr>
              <w:t>UKUPNO :</w:t>
            </w:r>
          </w:p>
        </w:tc>
        <w:tc>
          <w:tcPr>
            <w:tcW w:w="1468" w:type="dxa"/>
          </w:tcPr>
          <w:p w14:paraId="16303FEB" w14:textId="77777777" w:rsidR="00395E5C" w:rsidRDefault="00395E5C" w:rsidP="0008265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</w:tcPr>
          <w:p w14:paraId="5410C860" w14:textId="186ED5E4" w:rsidR="00395E5C" w:rsidRPr="00ED4063" w:rsidRDefault="00E6374B" w:rsidP="00D86CE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178.378,</w:t>
            </w:r>
            <w:r w:rsidR="008D1A00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</w:tr>
    </w:tbl>
    <w:p w14:paraId="301A5E0B" w14:textId="77777777" w:rsidR="0009534E" w:rsidRDefault="0009534E" w:rsidP="000953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9987659" w14:textId="7F347223" w:rsidR="0009534E" w:rsidRDefault="0009534E" w:rsidP="0009534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 </w:t>
      </w:r>
      <w:r w:rsidRPr="00004F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Tekuće</w:t>
      </w:r>
      <w:r w:rsidRPr="00004FD9">
        <w:rPr>
          <w:rFonts w:ascii="Times New Roman" w:hAnsi="Times New Roman" w:cs="Times New Roman"/>
          <w:b/>
        </w:rPr>
        <w:t xml:space="preserve"> pomoći proračunskim korisnicima iz proračuna koji im nije nadležan</w:t>
      </w:r>
    </w:p>
    <w:p w14:paraId="4A038A87" w14:textId="6D9F6993" w:rsidR="0009534E" w:rsidRDefault="0009534E" w:rsidP="004C5E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</w:t>
      </w:r>
      <w:r w:rsidR="00FE6CB4">
        <w:rPr>
          <w:rFonts w:ascii="Times New Roman" w:hAnsi="Times New Roman" w:cs="Times New Roman"/>
        </w:rPr>
        <w:t>u</w:t>
      </w:r>
      <w:r w:rsidR="00FE6CB4" w:rsidRPr="00FE6CB4">
        <w:rPr>
          <w:rFonts w:ascii="Times New Roman" w:hAnsi="Times New Roman" w:cs="Times New Roman"/>
          <w:b/>
        </w:rPr>
        <w:t xml:space="preserve"> </w:t>
      </w:r>
      <w:r w:rsidR="00FE6CB4">
        <w:rPr>
          <w:rFonts w:ascii="Times New Roman" w:hAnsi="Times New Roman" w:cs="Times New Roman"/>
          <w:bCs/>
        </w:rPr>
        <w:t>iznosu od</w:t>
      </w:r>
      <w:r>
        <w:rPr>
          <w:rFonts w:ascii="Times New Roman" w:hAnsi="Times New Roman" w:cs="Times New Roman"/>
        </w:rPr>
        <w:t xml:space="preserve"> 663,</w:t>
      </w:r>
      <w:r w:rsidRPr="0009534E">
        <w:rPr>
          <w:rFonts w:ascii="Times New Roman" w:hAnsi="Times New Roman" w:cs="Times New Roman"/>
        </w:rPr>
        <w:t xml:space="preserve">62 </w:t>
      </w:r>
      <w:r>
        <w:rPr>
          <w:rFonts w:ascii="Times New Roman" w:hAnsi="Times New Roman" w:cs="Times New Roman"/>
        </w:rPr>
        <w:t>EUR</w:t>
      </w:r>
      <w:r w:rsidRPr="00095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odnose se na tekuće pomoći iz državnog proračuna za održavanje programa „Ljet</w:t>
      </w:r>
      <w:r w:rsidR="00FE6CB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 knjižnici“ </w:t>
      </w:r>
      <w:r w:rsidRPr="007F2999">
        <w:rPr>
          <w:rFonts w:ascii="Times New Roman" w:hAnsi="Times New Roman" w:cs="Times New Roman"/>
        </w:rPr>
        <w:t>i literarnog natječaja „Ca je ča“ – 30. godina tradicije njegovanja labinske cakavice</w:t>
      </w:r>
      <w:r>
        <w:rPr>
          <w:rFonts w:ascii="Times New Roman" w:hAnsi="Times New Roman" w:cs="Times New Roman"/>
        </w:rPr>
        <w:t>“</w:t>
      </w:r>
      <w:r w:rsidRPr="007F2999">
        <w:rPr>
          <w:rFonts w:ascii="Times New Roman" w:hAnsi="Times New Roman" w:cs="Times New Roman"/>
        </w:rPr>
        <w:t>.</w:t>
      </w:r>
    </w:p>
    <w:p w14:paraId="006AEA0A" w14:textId="77777777" w:rsidR="004C5EAC" w:rsidRPr="00004FD9" w:rsidRDefault="002D46A9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6362 </w:t>
      </w:r>
      <w:r w:rsidR="004C5EAC" w:rsidRPr="00004FD9">
        <w:rPr>
          <w:rFonts w:ascii="Times New Roman" w:hAnsi="Times New Roman" w:cs="Times New Roman"/>
          <w:b/>
        </w:rPr>
        <w:t xml:space="preserve"> Kapitalne pomoći proračunskim korisnicima iz proračuna koji im nije nadležan</w:t>
      </w:r>
    </w:p>
    <w:p w14:paraId="20A141EC" w14:textId="608FB28E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Prihodi se odnose na kapitalne pomoći iz državnog proračuna za nabavu </w:t>
      </w:r>
      <w:r w:rsidR="00D35E23">
        <w:rPr>
          <w:rFonts w:ascii="Times New Roman" w:hAnsi="Times New Roman" w:cs="Times New Roman"/>
        </w:rPr>
        <w:t>knjižnične građe</w:t>
      </w:r>
      <w:r w:rsidR="00A24B80">
        <w:rPr>
          <w:rFonts w:ascii="Times New Roman" w:hAnsi="Times New Roman" w:cs="Times New Roman"/>
        </w:rPr>
        <w:t xml:space="preserve"> (kupnja)</w:t>
      </w:r>
      <w:r w:rsidR="00D35E23">
        <w:rPr>
          <w:rFonts w:ascii="Times New Roman" w:hAnsi="Times New Roman" w:cs="Times New Roman"/>
        </w:rPr>
        <w:t xml:space="preserve"> u </w:t>
      </w:r>
      <w:r w:rsidR="00A24B80">
        <w:rPr>
          <w:rFonts w:ascii="Times New Roman" w:hAnsi="Times New Roman" w:cs="Times New Roman"/>
        </w:rPr>
        <w:t>iznosu od</w:t>
      </w:r>
      <w:r w:rsidR="00D35E23">
        <w:rPr>
          <w:rFonts w:ascii="Times New Roman" w:hAnsi="Times New Roman" w:cs="Times New Roman"/>
        </w:rPr>
        <w:t xml:space="preserve"> </w:t>
      </w:r>
      <w:r w:rsidR="0009534E">
        <w:rPr>
          <w:rFonts w:ascii="Times New Roman" w:hAnsi="Times New Roman" w:cs="Times New Roman"/>
        </w:rPr>
        <w:t>9.290,60 EUR</w:t>
      </w:r>
      <w:r w:rsidR="00D35E23">
        <w:rPr>
          <w:rFonts w:ascii="Times New Roman" w:hAnsi="Times New Roman" w:cs="Times New Roman"/>
        </w:rPr>
        <w:t>,</w:t>
      </w:r>
      <w:r w:rsidR="0009534E">
        <w:rPr>
          <w:rFonts w:ascii="Times New Roman" w:hAnsi="Times New Roman" w:cs="Times New Roman"/>
        </w:rPr>
        <w:t xml:space="preserve"> za</w:t>
      </w:r>
      <w:r w:rsidR="00A24B80" w:rsidRPr="00A24B80">
        <w:rPr>
          <w:rFonts w:ascii="Times New Roman" w:hAnsi="Times New Roman" w:cs="Times New Roman"/>
        </w:rPr>
        <w:t xml:space="preserve"> </w:t>
      </w:r>
      <w:r w:rsidR="00A24B80" w:rsidRPr="00004FD9">
        <w:rPr>
          <w:rFonts w:ascii="Times New Roman" w:hAnsi="Times New Roman" w:cs="Times New Roman"/>
        </w:rPr>
        <w:t xml:space="preserve">nabavu </w:t>
      </w:r>
      <w:r w:rsidR="00A24B80">
        <w:rPr>
          <w:rFonts w:ascii="Times New Roman" w:hAnsi="Times New Roman" w:cs="Times New Roman"/>
        </w:rPr>
        <w:t>knjižnične građe prema novom modelu</w:t>
      </w:r>
      <w:r w:rsidR="0009534E">
        <w:rPr>
          <w:rFonts w:ascii="Times New Roman" w:hAnsi="Times New Roman" w:cs="Times New Roman"/>
        </w:rPr>
        <w:t xml:space="preserve"> otkup</w:t>
      </w:r>
      <w:r w:rsidR="00A24B80">
        <w:rPr>
          <w:rFonts w:ascii="Times New Roman" w:hAnsi="Times New Roman" w:cs="Times New Roman"/>
        </w:rPr>
        <w:t>a MKIM-a u iznosu od</w:t>
      </w:r>
      <w:r w:rsidR="0009534E">
        <w:rPr>
          <w:rFonts w:ascii="Times New Roman" w:hAnsi="Times New Roman" w:cs="Times New Roman"/>
        </w:rPr>
        <w:t xml:space="preserve"> 9.994,03 EUR</w:t>
      </w:r>
      <w:r w:rsidR="00D35E23">
        <w:rPr>
          <w:rFonts w:ascii="Times New Roman" w:hAnsi="Times New Roman" w:cs="Times New Roman"/>
        </w:rPr>
        <w:t xml:space="preserve"> te </w:t>
      </w:r>
      <w:r w:rsidR="0009534E">
        <w:rPr>
          <w:rFonts w:ascii="Times New Roman" w:hAnsi="Times New Roman" w:cs="Times New Roman"/>
        </w:rPr>
        <w:t>1.400,00 EUR</w:t>
      </w:r>
      <w:r w:rsidR="00D35E23">
        <w:rPr>
          <w:rFonts w:ascii="Times New Roman" w:hAnsi="Times New Roman" w:cs="Times New Roman"/>
        </w:rPr>
        <w:t xml:space="preserve"> primljenih od Općine Raša za nadogradnju zbirki za Knjižnični stacionar Raša.</w:t>
      </w:r>
    </w:p>
    <w:p w14:paraId="656ACEBA" w14:textId="77777777" w:rsidR="004C5EAC" w:rsidRPr="00004FD9" w:rsidRDefault="008D0136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652 </w:t>
      </w:r>
      <w:r w:rsidR="004C5EAC" w:rsidRPr="00004FD9">
        <w:rPr>
          <w:rFonts w:ascii="Times New Roman" w:hAnsi="Times New Roman" w:cs="Times New Roman"/>
          <w:b/>
        </w:rPr>
        <w:t xml:space="preserve"> Prihodi po posebnim propisima</w:t>
      </w:r>
    </w:p>
    <w:p w14:paraId="4D89B2AA" w14:textId="0CE98FCC" w:rsidR="00D35E23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Prihodi po posebnim propisima odnose se na administrativne pristojbe (članarine,</w:t>
      </w:r>
      <w:r w:rsidR="00884168">
        <w:rPr>
          <w:rFonts w:ascii="Times New Roman" w:hAnsi="Times New Roman" w:cs="Times New Roman"/>
        </w:rPr>
        <w:t xml:space="preserve"> tehničke usluge, rezervacija, zakasnina</w:t>
      </w:r>
      <w:r w:rsidR="00D35E23">
        <w:rPr>
          <w:rFonts w:ascii="Times New Roman" w:hAnsi="Times New Roman" w:cs="Times New Roman"/>
        </w:rPr>
        <w:t>). U 202</w:t>
      </w:r>
      <w:r w:rsidR="001E7B8A">
        <w:rPr>
          <w:rFonts w:ascii="Times New Roman" w:hAnsi="Times New Roman" w:cs="Times New Roman"/>
        </w:rPr>
        <w:t>3</w:t>
      </w:r>
      <w:r w:rsidRPr="00004FD9">
        <w:rPr>
          <w:rFonts w:ascii="Times New Roman" w:hAnsi="Times New Roman" w:cs="Times New Roman"/>
        </w:rPr>
        <w:t xml:space="preserve">. ostvareni su u iznosu od </w:t>
      </w:r>
      <w:r w:rsidR="001E7B8A">
        <w:rPr>
          <w:rFonts w:ascii="Times New Roman" w:hAnsi="Times New Roman" w:cs="Times New Roman"/>
        </w:rPr>
        <w:t>14.293,37 EUR</w:t>
      </w:r>
      <w:r w:rsidRPr="00004FD9">
        <w:rPr>
          <w:rFonts w:ascii="Times New Roman" w:hAnsi="Times New Roman" w:cs="Times New Roman"/>
        </w:rPr>
        <w:t xml:space="preserve"> što je za </w:t>
      </w:r>
      <w:r w:rsidR="001E7B8A">
        <w:rPr>
          <w:rFonts w:ascii="Times New Roman" w:hAnsi="Times New Roman" w:cs="Times New Roman"/>
          <w:color w:val="000000" w:themeColor="text1"/>
        </w:rPr>
        <w:t>17,2</w:t>
      </w:r>
      <w:r w:rsidRPr="00D86CE6">
        <w:rPr>
          <w:rFonts w:ascii="Times New Roman" w:hAnsi="Times New Roman" w:cs="Times New Roman"/>
          <w:color w:val="000000" w:themeColor="text1"/>
        </w:rPr>
        <w:t>%</w:t>
      </w:r>
      <w:r w:rsidRPr="00004FD9">
        <w:rPr>
          <w:rFonts w:ascii="Times New Roman" w:hAnsi="Times New Roman" w:cs="Times New Roman"/>
        </w:rPr>
        <w:t xml:space="preserve"> </w:t>
      </w:r>
      <w:r w:rsidR="00D35E23">
        <w:rPr>
          <w:rFonts w:ascii="Times New Roman" w:hAnsi="Times New Roman" w:cs="Times New Roman"/>
        </w:rPr>
        <w:t>više</w:t>
      </w:r>
      <w:r w:rsidRPr="00004FD9">
        <w:rPr>
          <w:rFonts w:ascii="Times New Roman" w:hAnsi="Times New Roman" w:cs="Times New Roman"/>
        </w:rPr>
        <w:t xml:space="preserve"> u odnosu n</w:t>
      </w:r>
      <w:r w:rsidR="00D35E23">
        <w:rPr>
          <w:rFonts w:ascii="Times New Roman" w:hAnsi="Times New Roman" w:cs="Times New Roman"/>
        </w:rPr>
        <w:t>a</w:t>
      </w:r>
      <w:r w:rsidRPr="00004FD9">
        <w:rPr>
          <w:rFonts w:ascii="Times New Roman" w:hAnsi="Times New Roman" w:cs="Times New Roman"/>
        </w:rPr>
        <w:t xml:space="preserve"> prethodnu godinu. </w:t>
      </w:r>
    </w:p>
    <w:p w14:paraId="2B995416" w14:textId="77777777" w:rsidR="001E7B8A" w:rsidRDefault="001E7B8A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697F3EF" w14:textId="6970E8A1" w:rsidR="004C5EAC" w:rsidRPr="00004FD9" w:rsidRDefault="008E34AB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6615 </w:t>
      </w:r>
      <w:r w:rsidR="004C5EAC" w:rsidRPr="00004FD9">
        <w:rPr>
          <w:rFonts w:ascii="Times New Roman" w:hAnsi="Times New Roman" w:cs="Times New Roman"/>
          <w:b/>
          <w:bCs/>
        </w:rPr>
        <w:t xml:space="preserve"> Prihodi od pruženih usluga</w:t>
      </w:r>
    </w:p>
    <w:p w14:paraId="0A10431C" w14:textId="1F6ADC58" w:rsidR="00D86CE6" w:rsidRPr="001E7B8A" w:rsidRDefault="004C5EAC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04FD9">
        <w:rPr>
          <w:rFonts w:ascii="Times New Roman" w:hAnsi="Times New Roman" w:cs="Times New Roman"/>
          <w:bCs/>
        </w:rPr>
        <w:t xml:space="preserve">Prihodi od pruženih usluga ostvareni su u iznosu od </w:t>
      </w:r>
      <w:r w:rsidR="001E7B8A">
        <w:rPr>
          <w:rFonts w:ascii="Times New Roman" w:hAnsi="Times New Roman" w:cs="Times New Roman"/>
          <w:bCs/>
        </w:rPr>
        <w:t>2.999,59 EUR</w:t>
      </w:r>
      <w:r w:rsidRPr="00004FD9">
        <w:rPr>
          <w:rFonts w:ascii="Times New Roman" w:hAnsi="Times New Roman" w:cs="Times New Roman"/>
          <w:bCs/>
        </w:rPr>
        <w:t>.</w:t>
      </w:r>
      <w:r w:rsidR="002711F5">
        <w:rPr>
          <w:rFonts w:ascii="Times New Roman" w:hAnsi="Times New Roman" w:cs="Times New Roman"/>
          <w:bCs/>
        </w:rPr>
        <w:t xml:space="preserve"> </w:t>
      </w:r>
      <w:r w:rsidR="008E34AB">
        <w:rPr>
          <w:rFonts w:ascii="Times New Roman" w:hAnsi="Times New Roman" w:cs="Times New Roman"/>
          <w:bCs/>
        </w:rPr>
        <w:t>O</w:t>
      </w:r>
      <w:r w:rsidR="002711F5">
        <w:rPr>
          <w:rFonts w:ascii="Times New Roman" w:hAnsi="Times New Roman" w:cs="Times New Roman"/>
          <w:bCs/>
        </w:rPr>
        <w:t>dnose se na prihode od najma polivalentne dvorane i opreme</w:t>
      </w:r>
      <w:r w:rsidR="001E7B8A">
        <w:rPr>
          <w:rFonts w:ascii="Times New Roman" w:hAnsi="Times New Roman" w:cs="Times New Roman"/>
          <w:bCs/>
        </w:rPr>
        <w:t xml:space="preserve"> te su za 5,2% manji u odnosu na prethodnu godinu.</w:t>
      </w:r>
    </w:p>
    <w:p w14:paraId="2CEB4D6F" w14:textId="0269DA25" w:rsidR="002711F5" w:rsidRDefault="008E34AB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663</w:t>
      </w:r>
      <w:r w:rsidR="001E7B8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 w:rsidR="002711F5" w:rsidRPr="002711F5">
        <w:rPr>
          <w:rFonts w:ascii="Times New Roman" w:hAnsi="Times New Roman" w:cs="Times New Roman"/>
          <w:b/>
          <w:bCs/>
        </w:rPr>
        <w:t xml:space="preserve"> </w:t>
      </w:r>
      <w:r w:rsidR="001E7B8A">
        <w:rPr>
          <w:rFonts w:ascii="Times New Roman" w:hAnsi="Times New Roman" w:cs="Times New Roman"/>
          <w:b/>
          <w:bCs/>
        </w:rPr>
        <w:t>Tekuće</w:t>
      </w:r>
      <w:r w:rsidR="002711F5" w:rsidRPr="002711F5">
        <w:rPr>
          <w:rFonts w:ascii="Times New Roman" w:hAnsi="Times New Roman" w:cs="Times New Roman"/>
          <w:b/>
          <w:bCs/>
        </w:rPr>
        <w:t xml:space="preserve"> donacije</w:t>
      </w:r>
    </w:p>
    <w:p w14:paraId="5A066102" w14:textId="4528684E" w:rsidR="002711F5" w:rsidRDefault="002711F5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711F5">
        <w:rPr>
          <w:rFonts w:ascii="Times New Roman" w:hAnsi="Times New Roman" w:cs="Times New Roman"/>
          <w:bCs/>
        </w:rPr>
        <w:t>U 202</w:t>
      </w:r>
      <w:r w:rsidR="001E7B8A">
        <w:rPr>
          <w:rFonts w:ascii="Times New Roman" w:hAnsi="Times New Roman" w:cs="Times New Roman"/>
          <w:bCs/>
        </w:rPr>
        <w:t>3</w:t>
      </w:r>
      <w:r w:rsidRPr="002711F5">
        <w:rPr>
          <w:rFonts w:ascii="Times New Roman" w:hAnsi="Times New Roman" w:cs="Times New Roman"/>
          <w:bCs/>
        </w:rPr>
        <w:t>.</w:t>
      </w:r>
      <w:r w:rsidR="0076458F">
        <w:rPr>
          <w:rFonts w:ascii="Times New Roman" w:hAnsi="Times New Roman" w:cs="Times New Roman"/>
          <w:bCs/>
        </w:rPr>
        <w:t xml:space="preserve"> godini</w:t>
      </w:r>
      <w:r w:rsidRPr="002711F5">
        <w:rPr>
          <w:rFonts w:ascii="Times New Roman" w:hAnsi="Times New Roman" w:cs="Times New Roman"/>
          <w:bCs/>
        </w:rPr>
        <w:t xml:space="preserve"> </w:t>
      </w:r>
      <w:r w:rsidR="0076458F">
        <w:rPr>
          <w:rFonts w:ascii="Times New Roman" w:hAnsi="Times New Roman" w:cs="Times New Roman"/>
          <w:bCs/>
        </w:rPr>
        <w:t>p</w:t>
      </w:r>
      <w:r w:rsidRPr="002711F5">
        <w:rPr>
          <w:rFonts w:ascii="Times New Roman" w:hAnsi="Times New Roman" w:cs="Times New Roman"/>
          <w:bCs/>
        </w:rPr>
        <w:t xml:space="preserve">rimljene su donacije knjiga od osoba izvan proračuna u vrijednosti </w:t>
      </w:r>
      <w:r w:rsidR="001E7B8A">
        <w:rPr>
          <w:rFonts w:ascii="Times New Roman" w:hAnsi="Times New Roman" w:cs="Times New Roman"/>
          <w:bCs/>
        </w:rPr>
        <w:t xml:space="preserve">222,20 EUR, te donacija </w:t>
      </w:r>
      <w:r w:rsidR="00A24B80">
        <w:rPr>
          <w:rFonts w:ascii="Times New Roman" w:hAnsi="Times New Roman" w:cs="Times New Roman"/>
          <w:bCs/>
        </w:rPr>
        <w:t>K</w:t>
      </w:r>
      <w:r w:rsidR="001E7B8A">
        <w:rPr>
          <w:rFonts w:ascii="Times New Roman" w:hAnsi="Times New Roman" w:cs="Times New Roman"/>
          <w:bCs/>
        </w:rPr>
        <w:t>njižnici u vrijednosti od 100</w:t>
      </w:r>
      <w:r w:rsidR="00277B54">
        <w:rPr>
          <w:rFonts w:ascii="Times New Roman" w:hAnsi="Times New Roman" w:cs="Times New Roman"/>
          <w:bCs/>
        </w:rPr>
        <w:t>,00</w:t>
      </w:r>
      <w:r w:rsidR="001E7B8A">
        <w:rPr>
          <w:rFonts w:ascii="Times New Roman" w:hAnsi="Times New Roman" w:cs="Times New Roman"/>
          <w:bCs/>
        </w:rPr>
        <w:t xml:space="preserve"> EUR</w:t>
      </w:r>
      <w:r>
        <w:rPr>
          <w:rFonts w:ascii="Times New Roman" w:hAnsi="Times New Roman" w:cs="Times New Roman"/>
          <w:bCs/>
        </w:rPr>
        <w:t>.</w:t>
      </w:r>
    </w:p>
    <w:p w14:paraId="4BF388A8" w14:textId="5A6DFF02" w:rsidR="001E7B8A" w:rsidRDefault="001E7B8A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7B8A">
        <w:rPr>
          <w:rFonts w:ascii="Times New Roman" w:hAnsi="Times New Roman" w:cs="Times New Roman"/>
          <w:b/>
        </w:rPr>
        <w:t>6711 Prihodi iz nadležnog proračuna za financiranje rashoda poslovanja</w:t>
      </w:r>
    </w:p>
    <w:p w14:paraId="5B7DB6B5" w14:textId="52CFE4F0" w:rsidR="001E7B8A" w:rsidRPr="00875E77" w:rsidRDefault="001E7B8A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Prihodi su ostvareni u iznosu od 128.</w:t>
      </w:r>
      <w:r w:rsidR="00E6374B">
        <w:rPr>
          <w:rFonts w:ascii="Times New Roman" w:hAnsi="Times New Roman" w:cs="Times New Roman"/>
          <w:bCs/>
        </w:rPr>
        <w:t>268,53</w:t>
      </w:r>
      <w:r>
        <w:rPr>
          <w:rFonts w:ascii="Times New Roman" w:hAnsi="Times New Roman" w:cs="Times New Roman"/>
          <w:bCs/>
        </w:rPr>
        <w:t xml:space="preserve"> EUR</w:t>
      </w:r>
      <w:r w:rsidR="00875E77">
        <w:rPr>
          <w:rFonts w:ascii="Times New Roman" w:hAnsi="Times New Roman" w:cs="Times New Roman"/>
          <w:bCs/>
        </w:rPr>
        <w:t xml:space="preserve">, </w:t>
      </w:r>
      <w:r w:rsidR="00875E77">
        <w:rPr>
          <w:rFonts w:ascii="Times New Roman" w:hAnsi="Times New Roman" w:cs="Times New Roman"/>
        </w:rPr>
        <w:t xml:space="preserve">a odnose se na financiranje redovnog poslovanja </w:t>
      </w:r>
      <w:r w:rsidR="00A24B80">
        <w:rPr>
          <w:rFonts w:ascii="Times New Roman" w:hAnsi="Times New Roman" w:cs="Times New Roman"/>
        </w:rPr>
        <w:t>K</w:t>
      </w:r>
      <w:r w:rsidR="00875E77">
        <w:rPr>
          <w:rFonts w:ascii="Times New Roman" w:hAnsi="Times New Roman" w:cs="Times New Roman"/>
        </w:rPr>
        <w:t>njižnice.</w:t>
      </w:r>
    </w:p>
    <w:p w14:paraId="0E7EEA1A" w14:textId="75374AB4" w:rsidR="001E7B8A" w:rsidRDefault="001E7B8A" w:rsidP="001E7B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7B8A">
        <w:rPr>
          <w:rFonts w:ascii="Times New Roman" w:hAnsi="Times New Roman" w:cs="Times New Roman"/>
          <w:b/>
        </w:rPr>
        <w:t>6712</w:t>
      </w:r>
      <w:r>
        <w:rPr>
          <w:rFonts w:ascii="Times New Roman" w:hAnsi="Times New Roman" w:cs="Times New Roman"/>
          <w:bCs/>
        </w:rPr>
        <w:t xml:space="preserve"> </w:t>
      </w:r>
      <w:r w:rsidRPr="001E7B8A">
        <w:rPr>
          <w:rFonts w:ascii="Times New Roman" w:hAnsi="Times New Roman" w:cs="Times New Roman"/>
          <w:b/>
        </w:rPr>
        <w:t xml:space="preserve">Prihodi iz nadležnog proračuna za financiranje rashoda </w:t>
      </w:r>
      <w:r>
        <w:rPr>
          <w:rFonts w:ascii="Times New Roman" w:hAnsi="Times New Roman" w:cs="Times New Roman"/>
          <w:b/>
        </w:rPr>
        <w:t>za nabavu nefinancijske imovine</w:t>
      </w:r>
    </w:p>
    <w:p w14:paraId="29B8FA15" w14:textId="083C14B4" w:rsidR="001E7B8A" w:rsidRDefault="001E7B8A" w:rsidP="001E7B8A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Prihodi su ostvareni u iznosu od 10.</w:t>
      </w:r>
      <w:r w:rsidR="008D1A00">
        <w:rPr>
          <w:rFonts w:ascii="Times New Roman" w:hAnsi="Times New Roman" w:cs="Times New Roman"/>
          <w:bCs/>
        </w:rPr>
        <w:t>697,92</w:t>
      </w:r>
      <w:r>
        <w:rPr>
          <w:rFonts w:ascii="Times New Roman" w:hAnsi="Times New Roman" w:cs="Times New Roman"/>
          <w:bCs/>
        </w:rPr>
        <w:t xml:space="preserve"> </w:t>
      </w:r>
      <w:r w:rsidR="00875E77">
        <w:rPr>
          <w:rFonts w:ascii="Times New Roman" w:hAnsi="Times New Roman" w:cs="Times New Roman"/>
          <w:bCs/>
        </w:rPr>
        <w:t xml:space="preserve">EUR, </w:t>
      </w:r>
      <w:r w:rsidR="00875E77">
        <w:rPr>
          <w:rFonts w:ascii="Times New Roman" w:hAnsi="Times New Roman" w:cs="Times New Roman"/>
        </w:rPr>
        <w:t xml:space="preserve">a odnose se na financiranje nabavke knjiga te nabavu </w:t>
      </w:r>
      <w:r w:rsidR="00875E77" w:rsidRPr="00A24B80">
        <w:rPr>
          <w:rFonts w:ascii="Times New Roman" w:hAnsi="Times New Roman" w:cs="Times New Roman"/>
        </w:rPr>
        <w:t>računalne i druge opreme</w:t>
      </w:r>
      <w:r w:rsidR="00875E77">
        <w:rPr>
          <w:rFonts w:ascii="Times New Roman" w:hAnsi="Times New Roman" w:cs="Times New Roman"/>
        </w:rPr>
        <w:t>.</w:t>
      </w:r>
    </w:p>
    <w:p w14:paraId="6754B84C" w14:textId="3FFD505F" w:rsidR="001E7B8A" w:rsidRDefault="00875E77" w:rsidP="001E7B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75E77">
        <w:rPr>
          <w:rFonts w:ascii="Times New Roman" w:hAnsi="Times New Roman" w:cs="Times New Roman"/>
          <w:b/>
        </w:rPr>
        <w:t>7241 Knjige</w:t>
      </w:r>
    </w:p>
    <w:p w14:paraId="4BD3B1B6" w14:textId="219A4346" w:rsidR="001E7B8A" w:rsidRPr="001E7B8A" w:rsidRDefault="00A24B80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Prihodi</w:t>
      </w:r>
      <w:r w:rsidR="00875E77">
        <w:rPr>
          <w:rFonts w:ascii="Times New Roman" w:hAnsi="Times New Roman" w:cs="Times New Roman"/>
          <w:bCs/>
        </w:rPr>
        <w:t xml:space="preserve"> u iznosu od 449,00 EUR odnose se na prodaju rashodovanih knjiga</w:t>
      </w:r>
      <w:r>
        <w:rPr>
          <w:rFonts w:ascii="Times New Roman" w:hAnsi="Times New Roman" w:cs="Times New Roman"/>
          <w:bCs/>
        </w:rPr>
        <w:t>.</w:t>
      </w:r>
    </w:p>
    <w:p w14:paraId="41C460B8" w14:textId="77777777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Rashodi poslovanja</w:t>
      </w:r>
    </w:p>
    <w:p w14:paraId="25BF4844" w14:textId="531D0778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Rashodi poslovanja ostvareni su u iznosu od </w:t>
      </w:r>
      <w:r w:rsidR="00BA0358">
        <w:rPr>
          <w:rFonts w:ascii="Times New Roman" w:hAnsi="Times New Roman" w:cs="Times New Roman"/>
        </w:rPr>
        <w:t>145.192,61 EUR</w:t>
      </w:r>
      <w:r w:rsidRPr="00004FD9">
        <w:rPr>
          <w:rFonts w:ascii="Times New Roman" w:hAnsi="Times New Roman" w:cs="Times New Roman"/>
        </w:rPr>
        <w:t xml:space="preserve">. Rashodi poslovanja </w:t>
      </w:r>
      <w:r w:rsidR="00D35E23">
        <w:rPr>
          <w:rFonts w:ascii="Times New Roman" w:hAnsi="Times New Roman" w:cs="Times New Roman"/>
        </w:rPr>
        <w:t xml:space="preserve">realizirani su </w:t>
      </w:r>
      <w:r w:rsidR="00BA0358">
        <w:rPr>
          <w:rFonts w:ascii="Times New Roman" w:hAnsi="Times New Roman" w:cs="Times New Roman"/>
        </w:rPr>
        <w:t>za 16,4 % više u odnosu na prethodnu godinu.</w:t>
      </w:r>
    </w:p>
    <w:p w14:paraId="36440EE1" w14:textId="77777777" w:rsidR="004C5EAC" w:rsidRPr="00004FD9" w:rsidRDefault="00042F82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311 </w:t>
      </w:r>
      <w:r w:rsidR="004C5EAC" w:rsidRPr="00004FD9">
        <w:rPr>
          <w:rFonts w:ascii="Times New Roman" w:hAnsi="Times New Roman" w:cs="Times New Roman"/>
          <w:b/>
        </w:rPr>
        <w:t xml:space="preserve"> Rashodi za zaposlene</w:t>
      </w:r>
    </w:p>
    <w:p w14:paraId="6BFB8DBA" w14:textId="7353CA49" w:rsidR="004C5EAC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Rashodi za zaposlene ostvareni su u iznosu od </w:t>
      </w:r>
      <w:r w:rsidR="00BA0358">
        <w:rPr>
          <w:rFonts w:ascii="Times New Roman" w:hAnsi="Times New Roman" w:cs="Times New Roman"/>
        </w:rPr>
        <w:t>73.939,90 EUR</w:t>
      </w:r>
      <w:r w:rsidRPr="00004FD9">
        <w:rPr>
          <w:rFonts w:ascii="Times New Roman" w:hAnsi="Times New Roman" w:cs="Times New Roman"/>
        </w:rPr>
        <w:t xml:space="preserve"> te su </w:t>
      </w:r>
      <w:r w:rsidR="00D35E23">
        <w:rPr>
          <w:rFonts w:ascii="Times New Roman" w:hAnsi="Times New Roman" w:cs="Times New Roman"/>
        </w:rPr>
        <w:t xml:space="preserve">veći </w:t>
      </w:r>
      <w:r w:rsidRPr="00004FD9">
        <w:rPr>
          <w:rFonts w:ascii="Times New Roman" w:hAnsi="Times New Roman" w:cs="Times New Roman"/>
        </w:rPr>
        <w:t xml:space="preserve"> u odnosu na prethodnu godinu za </w:t>
      </w:r>
      <w:r w:rsidR="00BA0358">
        <w:rPr>
          <w:rFonts w:ascii="Times New Roman" w:hAnsi="Times New Roman" w:cs="Times New Roman"/>
          <w:color w:val="000000" w:themeColor="text1"/>
        </w:rPr>
        <w:t>25,3</w:t>
      </w:r>
      <w:r w:rsidRPr="00D86CE6">
        <w:rPr>
          <w:rFonts w:ascii="Times New Roman" w:hAnsi="Times New Roman" w:cs="Times New Roman"/>
          <w:color w:val="000000" w:themeColor="text1"/>
        </w:rPr>
        <w:t>%</w:t>
      </w:r>
      <w:r w:rsidRPr="00004F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Razlog tome je </w:t>
      </w:r>
      <w:r w:rsidR="00BA0358" w:rsidRPr="00F40046">
        <w:rPr>
          <w:rFonts w:ascii="Times New Roman" w:hAnsi="Times New Roman" w:cs="Times New Roman"/>
        </w:rPr>
        <w:t>povećanje osnovice</w:t>
      </w:r>
      <w:r w:rsidR="00F40046" w:rsidRPr="00F40046">
        <w:rPr>
          <w:rFonts w:ascii="Times New Roman" w:hAnsi="Times New Roman" w:cs="Times New Roman"/>
        </w:rPr>
        <w:t xml:space="preserve"> </w:t>
      </w:r>
      <w:r w:rsidR="00F40046">
        <w:rPr>
          <w:rFonts w:ascii="Times New Roman" w:hAnsi="Times New Roman" w:cs="Times New Roman"/>
        </w:rPr>
        <w:t>plaće za zaposlene.</w:t>
      </w:r>
    </w:p>
    <w:p w14:paraId="2C78F70E" w14:textId="77777777" w:rsidR="00067792" w:rsidRDefault="00067792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67792">
        <w:rPr>
          <w:rFonts w:ascii="Times New Roman" w:hAnsi="Times New Roman" w:cs="Times New Roman"/>
          <w:b/>
        </w:rPr>
        <w:t>312 Ostali rashodi za zaposlene</w:t>
      </w:r>
    </w:p>
    <w:p w14:paraId="37AAAFE0" w14:textId="7979DED3" w:rsidR="00067792" w:rsidRPr="00067792" w:rsidRDefault="00067792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rashodi za zaposlene ostvareni su u iznosu od </w:t>
      </w:r>
      <w:r w:rsidR="00BA0358">
        <w:rPr>
          <w:rFonts w:ascii="Times New Roman" w:hAnsi="Times New Roman" w:cs="Times New Roman"/>
        </w:rPr>
        <w:t>7.233,42 EUR</w:t>
      </w:r>
      <w:r>
        <w:rPr>
          <w:rFonts w:ascii="Times New Roman" w:hAnsi="Times New Roman" w:cs="Times New Roman"/>
        </w:rPr>
        <w:t xml:space="preserve"> te su veći za </w:t>
      </w:r>
      <w:r w:rsidR="00BA0358">
        <w:rPr>
          <w:rFonts w:ascii="Times New Roman" w:hAnsi="Times New Roman" w:cs="Times New Roman"/>
        </w:rPr>
        <w:t>86,1</w:t>
      </w:r>
      <w:r>
        <w:rPr>
          <w:rFonts w:ascii="Times New Roman" w:hAnsi="Times New Roman" w:cs="Times New Roman"/>
        </w:rPr>
        <w:t>% u iznosu na prethodnu godinu. Razlog tome je povećanje neoporezivih primitaka za djelatnike.</w:t>
      </w:r>
    </w:p>
    <w:p w14:paraId="2A29EB69" w14:textId="77777777" w:rsidR="0054567A" w:rsidRDefault="00042F82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32</w:t>
      </w:r>
      <w:r w:rsidR="004C5EAC" w:rsidRPr="00004FD9">
        <w:rPr>
          <w:rFonts w:ascii="Times New Roman" w:hAnsi="Times New Roman" w:cs="Times New Roman"/>
          <w:b/>
          <w:bCs/>
        </w:rPr>
        <w:t xml:space="preserve"> Materijalni rashodi</w:t>
      </w:r>
    </w:p>
    <w:p w14:paraId="2538D61D" w14:textId="73779DFE" w:rsidR="00D24281" w:rsidRDefault="004C5EAC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04FD9">
        <w:rPr>
          <w:rFonts w:ascii="Times New Roman" w:hAnsi="Times New Roman" w:cs="Times New Roman"/>
          <w:bCs/>
        </w:rPr>
        <w:t xml:space="preserve">Materijalni rashodi ostvareni su u iznosu od </w:t>
      </w:r>
      <w:r w:rsidR="00DA48AD">
        <w:rPr>
          <w:rFonts w:ascii="Times New Roman" w:hAnsi="Times New Roman" w:cs="Times New Roman"/>
          <w:bCs/>
        </w:rPr>
        <w:t>51.776,13 EUR</w:t>
      </w:r>
      <w:r w:rsidRPr="00004FD9">
        <w:rPr>
          <w:rFonts w:ascii="Times New Roman" w:hAnsi="Times New Roman" w:cs="Times New Roman"/>
          <w:bCs/>
        </w:rPr>
        <w:t xml:space="preserve"> </w:t>
      </w:r>
      <w:r w:rsidR="00DA48AD">
        <w:rPr>
          <w:rFonts w:ascii="Times New Roman" w:hAnsi="Times New Roman" w:cs="Times New Roman"/>
          <w:bCs/>
        </w:rPr>
        <w:t>te su na razini prethodne godine.</w:t>
      </w:r>
    </w:p>
    <w:p w14:paraId="390A89A9" w14:textId="77777777" w:rsidR="00277B54" w:rsidRDefault="00277B54" w:rsidP="007A42D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80A309E" w14:textId="77777777" w:rsidR="00277B54" w:rsidRDefault="00277B54" w:rsidP="007A42D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7AEE81" w14:textId="644FE4D2" w:rsidR="004C5EAC" w:rsidRPr="00A32F1F" w:rsidRDefault="00A32F1F" w:rsidP="007A42D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32F1F">
        <w:rPr>
          <w:rFonts w:ascii="Times New Roman" w:hAnsi="Times New Roman" w:cs="Times New Roman"/>
          <w:b/>
          <w:bCs/>
          <w:color w:val="000000" w:themeColor="text1"/>
        </w:rPr>
        <w:t>3211</w:t>
      </w:r>
      <w:r w:rsidR="004C5EAC" w:rsidRPr="00A32F1F">
        <w:rPr>
          <w:rFonts w:ascii="Times New Roman" w:hAnsi="Times New Roman" w:cs="Times New Roman"/>
          <w:b/>
          <w:bCs/>
          <w:color w:val="000000" w:themeColor="text1"/>
        </w:rPr>
        <w:t xml:space="preserve"> Službena putovanja i </w:t>
      </w:r>
      <w:r w:rsidRPr="00A32F1F">
        <w:rPr>
          <w:rFonts w:ascii="Times New Roman" w:hAnsi="Times New Roman" w:cs="Times New Roman"/>
          <w:b/>
          <w:bCs/>
          <w:color w:val="000000" w:themeColor="text1"/>
        </w:rPr>
        <w:t>3213</w:t>
      </w:r>
      <w:r w:rsidR="004C5EAC" w:rsidRPr="00A32F1F">
        <w:rPr>
          <w:rFonts w:ascii="Times New Roman" w:hAnsi="Times New Roman" w:cs="Times New Roman"/>
          <w:b/>
          <w:bCs/>
          <w:color w:val="000000" w:themeColor="text1"/>
        </w:rPr>
        <w:t xml:space="preserve"> Stručno usavršavanje zaposlenika</w:t>
      </w:r>
    </w:p>
    <w:p w14:paraId="571C87C7" w14:textId="387D7A0B" w:rsidR="00181A72" w:rsidRPr="0076458F" w:rsidRDefault="00181A72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6458F">
        <w:rPr>
          <w:rFonts w:ascii="Times New Roman" w:hAnsi="Times New Roman" w:cs="Times New Roman"/>
          <w:bCs/>
        </w:rPr>
        <w:t xml:space="preserve">U </w:t>
      </w:r>
      <w:r w:rsidR="00416165" w:rsidRPr="0076458F">
        <w:rPr>
          <w:rFonts w:ascii="Times New Roman" w:hAnsi="Times New Roman" w:cs="Times New Roman"/>
          <w:bCs/>
        </w:rPr>
        <w:t>202</w:t>
      </w:r>
      <w:r w:rsidR="00DA48AD" w:rsidRPr="0076458F">
        <w:rPr>
          <w:rFonts w:ascii="Times New Roman" w:hAnsi="Times New Roman" w:cs="Times New Roman"/>
          <w:bCs/>
        </w:rPr>
        <w:t>3</w:t>
      </w:r>
      <w:r w:rsidR="00416165" w:rsidRPr="0076458F">
        <w:rPr>
          <w:rFonts w:ascii="Times New Roman" w:hAnsi="Times New Roman" w:cs="Times New Roman"/>
          <w:bCs/>
        </w:rPr>
        <w:t xml:space="preserve">. </w:t>
      </w:r>
      <w:r w:rsidRPr="0076458F">
        <w:rPr>
          <w:rFonts w:ascii="Times New Roman" w:hAnsi="Times New Roman" w:cs="Times New Roman"/>
          <w:bCs/>
        </w:rPr>
        <w:t>godin</w:t>
      </w:r>
      <w:r w:rsidR="00416165" w:rsidRPr="0076458F">
        <w:rPr>
          <w:rFonts w:ascii="Times New Roman" w:hAnsi="Times New Roman" w:cs="Times New Roman"/>
          <w:bCs/>
        </w:rPr>
        <w:t>i</w:t>
      </w:r>
      <w:r w:rsidRPr="0076458F">
        <w:rPr>
          <w:rFonts w:ascii="Times New Roman" w:hAnsi="Times New Roman" w:cs="Times New Roman"/>
          <w:bCs/>
        </w:rPr>
        <w:t xml:space="preserve"> službena putovanja</w:t>
      </w:r>
      <w:r w:rsidR="00416165" w:rsidRPr="0076458F">
        <w:rPr>
          <w:rFonts w:ascii="Times New Roman" w:hAnsi="Times New Roman" w:cs="Times New Roman"/>
          <w:bCs/>
        </w:rPr>
        <w:t xml:space="preserve"> </w:t>
      </w:r>
      <w:r w:rsidR="00DA48AD" w:rsidRPr="0076458F">
        <w:rPr>
          <w:rFonts w:ascii="Times New Roman" w:hAnsi="Times New Roman" w:cs="Times New Roman"/>
          <w:bCs/>
        </w:rPr>
        <w:t>ostvarena su u iznosu od 401,20 EUR, što je za 92,5% veće</w:t>
      </w:r>
      <w:r w:rsidR="0076458F" w:rsidRPr="0076458F">
        <w:rPr>
          <w:rFonts w:ascii="Times New Roman" w:hAnsi="Times New Roman" w:cs="Times New Roman"/>
          <w:bCs/>
        </w:rPr>
        <w:t xml:space="preserve"> u odnosu na prethodnu godinu.</w:t>
      </w:r>
      <w:r w:rsidRPr="0076458F">
        <w:rPr>
          <w:rFonts w:ascii="Times New Roman" w:hAnsi="Times New Roman" w:cs="Times New Roman"/>
          <w:bCs/>
        </w:rPr>
        <w:t xml:space="preserve"> </w:t>
      </w:r>
      <w:r w:rsidR="00416165" w:rsidRPr="0076458F">
        <w:rPr>
          <w:rFonts w:ascii="Times New Roman" w:hAnsi="Times New Roman" w:cs="Times New Roman"/>
          <w:bCs/>
        </w:rPr>
        <w:t>S</w:t>
      </w:r>
      <w:r w:rsidRPr="0076458F">
        <w:rPr>
          <w:rFonts w:ascii="Times New Roman" w:hAnsi="Times New Roman" w:cs="Times New Roman"/>
          <w:bCs/>
        </w:rPr>
        <w:t>tručno usavršavanje zaposlenika biljež</w:t>
      </w:r>
      <w:r w:rsidR="00A32F1F" w:rsidRPr="0076458F">
        <w:rPr>
          <w:rFonts w:ascii="Times New Roman" w:hAnsi="Times New Roman" w:cs="Times New Roman"/>
          <w:bCs/>
        </w:rPr>
        <w:t>i</w:t>
      </w:r>
      <w:r w:rsidR="00D24281" w:rsidRPr="0076458F">
        <w:rPr>
          <w:rFonts w:ascii="Times New Roman" w:hAnsi="Times New Roman" w:cs="Times New Roman"/>
          <w:bCs/>
        </w:rPr>
        <w:t xml:space="preserve"> </w:t>
      </w:r>
      <w:r w:rsidR="0076458F" w:rsidRPr="0076458F">
        <w:rPr>
          <w:rFonts w:ascii="Times New Roman" w:hAnsi="Times New Roman" w:cs="Times New Roman"/>
          <w:bCs/>
        </w:rPr>
        <w:t xml:space="preserve">rast. Razlog tome je veći broj </w:t>
      </w:r>
      <w:r w:rsidR="00F40046">
        <w:rPr>
          <w:rFonts w:ascii="Times New Roman" w:hAnsi="Times New Roman" w:cs="Times New Roman"/>
          <w:bCs/>
        </w:rPr>
        <w:t xml:space="preserve">sudjelovanja na </w:t>
      </w:r>
      <w:r w:rsidR="0076458F" w:rsidRPr="0076458F">
        <w:rPr>
          <w:rFonts w:ascii="Times New Roman" w:hAnsi="Times New Roman" w:cs="Times New Roman"/>
          <w:bCs/>
        </w:rPr>
        <w:t>edukacija</w:t>
      </w:r>
      <w:r w:rsidR="00F40046">
        <w:rPr>
          <w:rFonts w:ascii="Times New Roman" w:hAnsi="Times New Roman" w:cs="Times New Roman"/>
          <w:bCs/>
        </w:rPr>
        <w:t>ma i programima u okviru stalnog stručnog usavršavanja zaposlenika</w:t>
      </w:r>
      <w:r w:rsidR="0076458F" w:rsidRPr="0076458F">
        <w:rPr>
          <w:rFonts w:ascii="Times New Roman" w:hAnsi="Times New Roman" w:cs="Times New Roman"/>
          <w:bCs/>
        </w:rPr>
        <w:t>.</w:t>
      </w:r>
    </w:p>
    <w:p w14:paraId="7C91D0FB" w14:textId="77777777" w:rsidR="00067792" w:rsidRDefault="00067792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67792">
        <w:rPr>
          <w:rFonts w:ascii="Times New Roman" w:hAnsi="Times New Roman" w:cs="Times New Roman"/>
          <w:b/>
          <w:bCs/>
        </w:rPr>
        <w:t>3221 Uredski materijal</w:t>
      </w:r>
      <w:r>
        <w:rPr>
          <w:rFonts w:ascii="Times New Roman" w:hAnsi="Times New Roman" w:cs="Times New Roman"/>
          <w:b/>
          <w:bCs/>
        </w:rPr>
        <w:t xml:space="preserve"> i ostali materijalni rashodi</w:t>
      </w:r>
    </w:p>
    <w:p w14:paraId="010B1869" w14:textId="1BB8B32F" w:rsidR="00067792" w:rsidRPr="00A32F1F" w:rsidRDefault="00067792" w:rsidP="007D782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Ostvareni su u iznosu </w:t>
      </w:r>
      <w:r w:rsidR="0093576A">
        <w:rPr>
          <w:rFonts w:ascii="Times New Roman" w:hAnsi="Times New Roman" w:cs="Times New Roman"/>
          <w:bCs/>
        </w:rPr>
        <w:t>3.57</w:t>
      </w:r>
      <w:r w:rsidR="008D1A00">
        <w:rPr>
          <w:rFonts w:ascii="Times New Roman" w:hAnsi="Times New Roman" w:cs="Times New Roman"/>
          <w:bCs/>
        </w:rPr>
        <w:t>1</w:t>
      </w:r>
      <w:r w:rsidR="0093576A">
        <w:rPr>
          <w:rFonts w:ascii="Times New Roman" w:hAnsi="Times New Roman" w:cs="Times New Roman"/>
          <w:bCs/>
        </w:rPr>
        <w:t>,31 EUR</w:t>
      </w:r>
      <w:r>
        <w:rPr>
          <w:rFonts w:ascii="Times New Roman" w:hAnsi="Times New Roman" w:cs="Times New Roman"/>
          <w:bCs/>
        </w:rPr>
        <w:t xml:space="preserve"> što je </w:t>
      </w:r>
      <w:r w:rsidR="0093576A">
        <w:rPr>
          <w:rFonts w:ascii="Times New Roman" w:hAnsi="Times New Roman" w:cs="Times New Roman"/>
          <w:bCs/>
        </w:rPr>
        <w:t xml:space="preserve">na razini </w:t>
      </w:r>
      <w:r>
        <w:rPr>
          <w:rFonts w:ascii="Times New Roman" w:hAnsi="Times New Roman" w:cs="Times New Roman"/>
          <w:bCs/>
        </w:rPr>
        <w:t xml:space="preserve"> prethodne godine</w:t>
      </w:r>
      <w:r w:rsidR="0093576A">
        <w:rPr>
          <w:rFonts w:ascii="Times New Roman" w:hAnsi="Times New Roman" w:cs="Times New Roman"/>
          <w:bCs/>
        </w:rPr>
        <w:t>.</w:t>
      </w:r>
    </w:p>
    <w:p w14:paraId="21B424ED" w14:textId="77777777" w:rsidR="004C5EAC" w:rsidRDefault="003A5F5A" w:rsidP="007A42D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3223 </w:t>
      </w:r>
      <w:r w:rsidR="004C5EAC" w:rsidRPr="004C5EAC">
        <w:rPr>
          <w:rFonts w:ascii="Times New Roman" w:hAnsi="Times New Roman" w:cs="Times New Roman"/>
          <w:b/>
          <w:bCs/>
        </w:rPr>
        <w:t xml:space="preserve"> Energija</w:t>
      </w:r>
    </w:p>
    <w:p w14:paraId="76423326" w14:textId="60B0D430" w:rsidR="00A32F1F" w:rsidRDefault="00181A72" w:rsidP="003A5F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Troškovi e</w:t>
      </w:r>
      <w:r w:rsidR="00860BBB">
        <w:rPr>
          <w:rFonts w:ascii="Times New Roman" w:hAnsi="Times New Roman" w:cs="Times New Roman"/>
          <w:bCs/>
        </w:rPr>
        <w:t>nergij</w:t>
      </w:r>
      <w:r w:rsidR="00416165">
        <w:rPr>
          <w:rFonts w:ascii="Times New Roman" w:hAnsi="Times New Roman" w:cs="Times New Roman"/>
          <w:bCs/>
        </w:rPr>
        <w:t>e</w:t>
      </w:r>
      <w:r w:rsidR="00860BBB">
        <w:rPr>
          <w:rFonts w:ascii="Times New Roman" w:hAnsi="Times New Roman" w:cs="Times New Roman"/>
          <w:bCs/>
        </w:rPr>
        <w:t xml:space="preserve"> </w:t>
      </w:r>
      <w:r w:rsidR="0093576A">
        <w:rPr>
          <w:rFonts w:ascii="Times New Roman" w:hAnsi="Times New Roman" w:cs="Times New Roman"/>
          <w:bCs/>
        </w:rPr>
        <w:t>bilježe pad od 11,1%</w:t>
      </w:r>
      <w:r w:rsidR="003A5F5A">
        <w:rPr>
          <w:rFonts w:ascii="Times New Roman" w:hAnsi="Times New Roman" w:cs="Times New Roman"/>
          <w:bCs/>
        </w:rPr>
        <w:t xml:space="preserve"> </w:t>
      </w:r>
      <w:r w:rsidR="00860BBB">
        <w:rPr>
          <w:rFonts w:ascii="Times New Roman" w:hAnsi="Times New Roman" w:cs="Times New Roman"/>
          <w:bCs/>
        </w:rPr>
        <w:t>u odnosu na prethodnu godinu.</w:t>
      </w:r>
      <w:r w:rsidR="003A5F5A">
        <w:rPr>
          <w:rFonts w:ascii="Times New Roman" w:hAnsi="Times New Roman" w:cs="Times New Roman"/>
          <w:bCs/>
        </w:rPr>
        <w:t xml:space="preserve"> </w:t>
      </w:r>
      <w:r w:rsidR="0093576A" w:rsidRPr="009D2F4A">
        <w:rPr>
          <w:rFonts w:ascii="Times New Roman" w:hAnsi="Times New Roman" w:cs="Times New Roman"/>
          <w:bCs/>
        </w:rPr>
        <w:t>Razlog tome je primjenjivanje cijene sukladno Uredbi o otklanjanju poremećaja na domaćem tržištu energije (NN 104/2022, 106/2022).</w:t>
      </w:r>
    </w:p>
    <w:p w14:paraId="7E8E4C34" w14:textId="77777777" w:rsidR="0093576A" w:rsidRDefault="0093576A" w:rsidP="0093576A">
      <w:pPr>
        <w:jc w:val="both"/>
        <w:rPr>
          <w:rFonts w:ascii="Times New Roman" w:hAnsi="Times New Roman" w:cs="Times New Roman"/>
          <w:b/>
        </w:rPr>
      </w:pPr>
      <w:r w:rsidRPr="0093576A">
        <w:rPr>
          <w:rFonts w:ascii="Times New Roman" w:hAnsi="Times New Roman" w:cs="Times New Roman"/>
          <w:b/>
        </w:rPr>
        <w:t>3225 Sitni inventar i auto gume</w:t>
      </w:r>
    </w:p>
    <w:p w14:paraId="11F5795F" w14:textId="190D19FD" w:rsidR="00123118" w:rsidRPr="0076458F" w:rsidRDefault="0076458F" w:rsidP="0093576A">
      <w:pPr>
        <w:jc w:val="both"/>
        <w:rPr>
          <w:rFonts w:ascii="Times New Roman" w:hAnsi="Times New Roman" w:cs="Times New Roman"/>
          <w:bCs/>
        </w:rPr>
      </w:pPr>
      <w:r w:rsidRPr="0076458F">
        <w:rPr>
          <w:rFonts w:ascii="Times New Roman" w:hAnsi="Times New Roman" w:cs="Times New Roman"/>
          <w:bCs/>
        </w:rPr>
        <w:t xml:space="preserve">Sitni inventar ostvaren je </w:t>
      </w:r>
      <w:r>
        <w:rPr>
          <w:rFonts w:ascii="Times New Roman" w:hAnsi="Times New Roman" w:cs="Times New Roman"/>
          <w:bCs/>
        </w:rPr>
        <w:t>u iznosu od 376,54 EUR, što je za 252,00% više u odnosu na prethodnu godinu. Razlog tome je veća nabav</w:t>
      </w:r>
      <w:r w:rsidR="00F40046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opreme manje vrijednosti.</w:t>
      </w:r>
    </w:p>
    <w:p w14:paraId="0E1394C2" w14:textId="567DE808" w:rsidR="00123118" w:rsidRDefault="00123118" w:rsidP="009357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3232 Usluge tekućeg i investicijskog održavanja</w:t>
      </w:r>
    </w:p>
    <w:p w14:paraId="15126A8C" w14:textId="56A4B1A1" w:rsidR="0093576A" w:rsidRPr="00F40046" w:rsidRDefault="00123118" w:rsidP="003A5F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Rashodi su u ostvareni u iznosu od 3.001,62 EUR što je manje za 28,6% u odnosu na prethodnu godinu. </w:t>
      </w:r>
      <w:r w:rsidRPr="00F40046">
        <w:rPr>
          <w:rFonts w:ascii="Times New Roman" w:hAnsi="Times New Roman" w:cs="Times New Roman"/>
          <w:bCs/>
        </w:rPr>
        <w:t xml:space="preserve">Razlog tome </w:t>
      </w:r>
      <w:r w:rsidR="00F40046">
        <w:rPr>
          <w:rFonts w:ascii="Times New Roman" w:hAnsi="Times New Roman" w:cs="Times New Roman"/>
          <w:bCs/>
        </w:rPr>
        <w:t>je što su u 2022. godini izvedeni</w:t>
      </w:r>
      <w:r w:rsidR="00F40046" w:rsidRPr="00F40046">
        <w:rPr>
          <w:rFonts w:ascii="Times New Roman" w:hAnsi="Times New Roman" w:cs="Times New Roman"/>
          <w:bCs/>
        </w:rPr>
        <w:t xml:space="preserve"> </w:t>
      </w:r>
      <w:r w:rsidR="00F40046">
        <w:rPr>
          <w:rFonts w:ascii="Times New Roman" w:hAnsi="Times New Roman" w:cs="Times New Roman"/>
          <w:bCs/>
        </w:rPr>
        <w:t>izvanredni</w:t>
      </w:r>
      <w:r w:rsidR="00F40046" w:rsidRPr="00F40046">
        <w:rPr>
          <w:rFonts w:ascii="Times New Roman" w:hAnsi="Times New Roman" w:cs="Times New Roman"/>
          <w:bCs/>
        </w:rPr>
        <w:t xml:space="preserve"> popravci na protuprovalnom sustavu</w:t>
      </w:r>
      <w:r w:rsidR="00F40046">
        <w:rPr>
          <w:rFonts w:ascii="Times New Roman" w:hAnsi="Times New Roman" w:cs="Times New Roman"/>
          <w:bCs/>
        </w:rPr>
        <w:t xml:space="preserve">, </w:t>
      </w:r>
      <w:r w:rsidR="00F40046" w:rsidRPr="00F40046">
        <w:rPr>
          <w:rFonts w:ascii="Times New Roman" w:hAnsi="Times New Roman" w:cs="Times New Roman"/>
          <w:bCs/>
        </w:rPr>
        <w:t xml:space="preserve"> </w:t>
      </w:r>
      <w:r w:rsidR="00F40046">
        <w:rPr>
          <w:rFonts w:ascii="Times New Roman" w:hAnsi="Times New Roman" w:cs="Times New Roman"/>
          <w:bCs/>
        </w:rPr>
        <w:t>kao i</w:t>
      </w:r>
      <w:r w:rsidR="00F40046" w:rsidRPr="00F40046">
        <w:rPr>
          <w:rFonts w:ascii="Times New Roman" w:hAnsi="Times New Roman" w:cs="Times New Roman"/>
          <w:bCs/>
        </w:rPr>
        <w:t xml:space="preserve"> radovi na instalacijama rasvjete u Knjižnici.</w:t>
      </w:r>
    </w:p>
    <w:p w14:paraId="373185A2" w14:textId="77777777" w:rsidR="003A5F5A" w:rsidRDefault="003A5F5A" w:rsidP="003A5F5A">
      <w:pPr>
        <w:jc w:val="both"/>
        <w:rPr>
          <w:rFonts w:ascii="Times New Roman" w:hAnsi="Times New Roman" w:cs="Times New Roman"/>
          <w:b/>
          <w:bCs/>
        </w:rPr>
      </w:pPr>
      <w:r w:rsidRPr="003A5F5A">
        <w:rPr>
          <w:rFonts w:ascii="Times New Roman" w:hAnsi="Times New Roman" w:cs="Times New Roman"/>
          <w:b/>
          <w:bCs/>
        </w:rPr>
        <w:t>3235 Zakupnine i najamnine</w:t>
      </w:r>
    </w:p>
    <w:p w14:paraId="01E0694D" w14:textId="69F7FF8D" w:rsidR="007D7826" w:rsidRDefault="00EA0F9C" w:rsidP="003A5F5A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A32F1F">
        <w:rPr>
          <w:rFonts w:ascii="Times New Roman" w:hAnsi="Times New Roman" w:cs="Times New Roman"/>
          <w:bCs/>
          <w:color w:val="000000" w:themeColor="text1"/>
        </w:rPr>
        <w:t xml:space="preserve">Ostvarene su u iznosu od </w:t>
      </w:r>
      <w:r w:rsidR="00123118">
        <w:rPr>
          <w:rFonts w:ascii="Times New Roman" w:hAnsi="Times New Roman" w:cs="Times New Roman"/>
          <w:bCs/>
          <w:color w:val="000000" w:themeColor="text1"/>
        </w:rPr>
        <w:t>225,00 EUR</w:t>
      </w:r>
      <w:r w:rsidRPr="00A32F1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B3C2D" w:rsidRPr="00A32F1F">
        <w:rPr>
          <w:rFonts w:ascii="Times New Roman" w:hAnsi="Times New Roman" w:cs="Times New Roman"/>
          <w:bCs/>
          <w:color w:val="000000" w:themeColor="text1"/>
        </w:rPr>
        <w:t>i</w:t>
      </w:r>
      <w:r w:rsidRPr="00A32F1F">
        <w:rPr>
          <w:rFonts w:ascii="Times New Roman" w:hAnsi="Times New Roman" w:cs="Times New Roman"/>
          <w:bCs/>
          <w:color w:val="000000" w:themeColor="text1"/>
        </w:rPr>
        <w:t xml:space="preserve"> odnosi se na licenc</w:t>
      </w:r>
      <w:r w:rsidR="005B3C2D" w:rsidRPr="00A32F1F">
        <w:rPr>
          <w:rFonts w:ascii="Times New Roman" w:hAnsi="Times New Roman" w:cs="Times New Roman"/>
          <w:bCs/>
          <w:color w:val="000000" w:themeColor="text1"/>
        </w:rPr>
        <w:t>u</w:t>
      </w:r>
      <w:r w:rsidRPr="00A32F1F">
        <w:rPr>
          <w:rFonts w:ascii="Times New Roman" w:hAnsi="Times New Roman" w:cs="Times New Roman"/>
          <w:bCs/>
          <w:color w:val="000000" w:themeColor="text1"/>
        </w:rPr>
        <w:t xml:space="preserve"> za </w:t>
      </w:r>
      <w:r w:rsidR="005B3C2D" w:rsidRPr="00A32F1F">
        <w:rPr>
          <w:rFonts w:ascii="Times New Roman" w:hAnsi="Times New Roman" w:cs="Times New Roman"/>
          <w:bCs/>
          <w:color w:val="000000" w:themeColor="text1"/>
        </w:rPr>
        <w:t xml:space="preserve">korištenje knjižnične aplikacije </w:t>
      </w:r>
      <w:r w:rsidRPr="00A32F1F">
        <w:rPr>
          <w:rFonts w:ascii="Times New Roman" w:hAnsi="Times New Roman" w:cs="Times New Roman"/>
          <w:bCs/>
          <w:color w:val="000000" w:themeColor="text1"/>
        </w:rPr>
        <w:t>m</w:t>
      </w:r>
      <w:r w:rsidR="005B3C2D" w:rsidRPr="00A32F1F">
        <w:rPr>
          <w:rFonts w:ascii="Times New Roman" w:hAnsi="Times New Roman" w:cs="Times New Roman"/>
          <w:bCs/>
          <w:color w:val="000000" w:themeColor="text1"/>
        </w:rPr>
        <w:t>K</w:t>
      </w:r>
      <w:r w:rsidRPr="00A32F1F">
        <w:rPr>
          <w:rFonts w:ascii="Times New Roman" w:hAnsi="Times New Roman" w:cs="Times New Roman"/>
          <w:bCs/>
          <w:color w:val="000000" w:themeColor="text1"/>
        </w:rPr>
        <w:t>njižnic</w:t>
      </w:r>
      <w:r w:rsidR="005B3C2D" w:rsidRPr="00A32F1F">
        <w:rPr>
          <w:rFonts w:ascii="Times New Roman" w:hAnsi="Times New Roman" w:cs="Times New Roman"/>
          <w:bCs/>
          <w:color w:val="000000" w:themeColor="text1"/>
        </w:rPr>
        <w:t>a.</w:t>
      </w:r>
    </w:p>
    <w:p w14:paraId="3EE927B6" w14:textId="1A55A409" w:rsidR="00123118" w:rsidRDefault="00123118" w:rsidP="003A5F5A">
      <w:pPr>
        <w:jc w:val="both"/>
        <w:rPr>
          <w:rFonts w:ascii="Times New Roman" w:hAnsi="Times New Roman" w:cs="Times New Roman"/>
          <w:b/>
        </w:rPr>
      </w:pPr>
      <w:r w:rsidRPr="00123118">
        <w:rPr>
          <w:rFonts w:ascii="Times New Roman" w:hAnsi="Times New Roman" w:cs="Times New Roman"/>
          <w:b/>
        </w:rPr>
        <w:t>3238 Računal</w:t>
      </w:r>
      <w:r w:rsidR="0076458F">
        <w:rPr>
          <w:rFonts w:ascii="Times New Roman" w:hAnsi="Times New Roman" w:cs="Times New Roman"/>
          <w:b/>
        </w:rPr>
        <w:t>n</w:t>
      </w:r>
      <w:r w:rsidRPr="00123118">
        <w:rPr>
          <w:rFonts w:ascii="Times New Roman" w:hAnsi="Times New Roman" w:cs="Times New Roman"/>
          <w:b/>
        </w:rPr>
        <w:t>e usluge</w:t>
      </w:r>
    </w:p>
    <w:p w14:paraId="1BA5574C" w14:textId="0D31BDF3" w:rsidR="00123118" w:rsidRPr="00A60D41" w:rsidRDefault="00123118" w:rsidP="003A5F5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Pozicija bilježi rast od 27,</w:t>
      </w:r>
      <w:r w:rsidR="008D1A00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%</w:t>
      </w:r>
      <w:r w:rsidR="00A60D41">
        <w:rPr>
          <w:rFonts w:ascii="Times New Roman" w:hAnsi="Times New Roman" w:cs="Times New Roman"/>
          <w:bCs/>
        </w:rPr>
        <w:t>. Razlog tome je veća cijena održavanja programa – LIBUSOFT CICOM d.o.o., te novi troškovi održavanja računala riznice – INFORMA d.o.o.</w:t>
      </w:r>
    </w:p>
    <w:p w14:paraId="6CA4A447" w14:textId="7FE8F145" w:rsidR="00123118" w:rsidRDefault="00123118" w:rsidP="003A5F5A">
      <w:pPr>
        <w:jc w:val="both"/>
        <w:rPr>
          <w:rFonts w:ascii="Times New Roman" w:hAnsi="Times New Roman" w:cs="Times New Roman"/>
          <w:b/>
        </w:rPr>
      </w:pPr>
      <w:r w:rsidRPr="00123118">
        <w:rPr>
          <w:rFonts w:ascii="Times New Roman" w:hAnsi="Times New Roman" w:cs="Times New Roman"/>
          <w:b/>
        </w:rPr>
        <w:t>324 Naknade troškova osobama izvan radnog odnosa</w:t>
      </w:r>
    </w:p>
    <w:p w14:paraId="1BA64FBD" w14:textId="192E627D" w:rsidR="003374C7" w:rsidRDefault="00123118" w:rsidP="007A42D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Rashodi su povećani za 320,9% zbog</w:t>
      </w:r>
      <w:r w:rsidR="002B2FB9">
        <w:rPr>
          <w:rFonts w:ascii="Times New Roman" w:hAnsi="Times New Roman" w:cs="Times New Roman"/>
          <w:bCs/>
        </w:rPr>
        <w:t xml:space="preserve"> većeg broja gostujućih autora na kulturnim programima (smještaj).</w:t>
      </w:r>
    </w:p>
    <w:p w14:paraId="3AE35B8C" w14:textId="03F65C95" w:rsidR="001E5E12" w:rsidRDefault="001E5E12" w:rsidP="007A42DC">
      <w:pPr>
        <w:jc w:val="both"/>
        <w:rPr>
          <w:rFonts w:ascii="Times New Roman" w:hAnsi="Times New Roman" w:cs="Times New Roman"/>
          <w:b/>
        </w:rPr>
      </w:pPr>
      <w:r w:rsidRPr="001E5E12">
        <w:rPr>
          <w:rFonts w:ascii="Times New Roman" w:hAnsi="Times New Roman" w:cs="Times New Roman"/>
          <w:b/>
        </w:rPr>
        <w:t>3431 Bankarske usluge i usluge platnog prometa</w:t>
      </w:r>
    </w:p>
    <w:p w14:paraId="05F65730" w14:textId="6FD938E4" w:rsidR="002B2FB9" w:rsidRDefault="00EF7EF7" w:rsidP="002B2FB9">
      <w:pPr>
        <w:jc w:val="both"/>
        <w:rPr>
          <w:rFonts w:ascii="Times New Roman" w:hAnsi="Times New Roman" w:cs="Times New Roman"/>
          <w:bCs/>
        </w:rPr>
      </w:pPr>
      <w:r w:rsidRPr="00EF7EF7">
        <w:rPr>
          <w:rFonts w:ascii="Times New Roman" w:hAnsi="Times New Roman" w:cs="Times New Roman"/>
          <w:bCs/>
        </w:rPr>
        <w:t>Ostvarene su u iznosu od 43,10 EUR</w:t>
      </w:r>
      <w:r>
        <w:rPr>
          <w:rFonts w:ascii="Times New Roman" w:hAnsi="Times New Roman" w:cs="Times New Roman"/>
          <w:bCs/>
        </w:rPr>
        <w:t>, a odnose se na proviziju banke od</w:t>
      </w:r>
      <w:r w:rsidR="002B2FB9">
        <w:rPr>
          <w:rFonts w:ascii="Times New Roman" w:hAnsi="Times New Roman" w:cs="Times New Roman"/>
          <w:bCs/>
        </w:rPr>
        <w:t xml:space="preserve"> korištenja</w:t>
      </w:r>
      <w:r>
        <w:rPr>
          <w:rFonts w:ascii="Times New Roman" w:hAnsi="Times New Roman" w:cs="Times New Roman"/>
          <w:bCs/>
        </w:rPr>
        <w:t xml:space="preserve"> POS uređaja.</w:t>
      </w:r>
    </w:p>
    <w:p w14:paraId="1316A58A" w14:textId="310773E8" w:rsidR="004C5EAC" w:rsidRPr="002B2FB9" w:rsidRDefault="004C5EAC" w:rsidP="002B2FB9">
      <w:pPr>
        <w:jc w:val="both"/>
        <w:rPr>
          <w:rFonts w:ascii="Times New Roman" w:hAnsi="Times New Roman" w:cs="Times New Roman"/>
          <w:bCs/>
        </w:rPr>
      </w:pPr>
      <w:r w:rsidRPr="00004FD9">
        <w:rPr>
          <w:rFonts w:ascii="Times New Roman" w:hAnsi="Times New Roman" w:cs="Times New Roman"/>
          <w:b/>
          <w:bCs/>
        </w:rPr>
        <w:t>Rashodi za nabavu nefinancijske imovine</w:t>
      </w:r>
    </w:p>
    <w:p w14:paraId="66D94F50" w14:textId="72EAC210" w:rsidR="0046416F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Rashodi su ostvaren</w:t>
      </w:r>
      <w:r w:rsidR="002B2FB9">
        <w:rPr>
          <w:rFonts w:ascii="Times New Roman" w:hAnsi="Times New Roman" w:cs="Times New Roman"/>
        </w:rPr>
        <w:t>i</w:t>
      </w:r>
      <w:r w:rsidRPr="00004FD9">
        <w:rPr>
          <w:rFonts w:ascii="Times New Roman" w:hAnsi="Times New Roman" w:cs="Times New Roman"/>
        </w:rPr>
        <w:t xml:space="preserve"> u iznosu od </w:t>
      </w:r>
      <w:r w:rsidR="00EF7EF7">
        <w:rPr>
          <w:rFonts w:ascii="Times New Roman" w:hAnsi="Times New Roman" w:cs="Times New Roman"/>
          <w:color w:val="000000" w:themeColor="text1"/>
        </w:rPr>
        <w:t>32.744,83 EUR</w:t>
      </w:r>
      <w:r w:rsidR="002A53CB" w:rsidRPr="00A32F1F">
        <w:rPr>
          <w:rFonts w:ascii="Times New Roman" w:hAnsi="Times New Roman" w:cs="Times New Roman"/>
          <w:color w:val="000000" w:themeColor="text1"/>
        </w:rPr>
        <w:t>. O</w:t>
      </w:r>
      <w:r w:rsidR="00287F65" w:rsidRPr="00A32F1F">
        <w:rPr>
          <w:rFonts w:ascii="Times New Roman" w:hAnsi="Times New Roman" w:cs="Times New Roman"/>
          <w:color w:val="000000" w:themeColor="text1"/>
        </w:rPr>
        <w:t xml:space="preserve">dnose </w:t>
      </w:r>
      <w:r w:rsidR="00287F65">
        <w:rPr>
          <w:rFonts w:ascii="Times New Roman" w:hAnsi="Times New Roman" w:cs="Times New Roman"/>
        </w:rPr>
        <w:t>se na nabavu</w:t>
      </w:r>
      <w:r w:rsidR="00EF7EF7">
        <w:rPr>
          <w:rFonts w:ascii="Times New Roman" w:hAnsi="Times New Roman" w:cs="Times New Roman"/>
        </w:rPr>
        <w:t xml:space="preserve"> računalne opreme (4221), ugradnju optike (4227) i</w:t>
      </w:r>
      <w:r w:rsidR="00287F65">
        <w:rPr>
          <w:rFonts w:ascii="Times New Roman" w:hAnsi="Times New Roman" w:cs="Times New Roman"/>
        </w:rPr>
        <w:t xml:space="preserve"> knjižne građe</w:t>
      </w:r>
      <w:r w:rsidR="002A53CB">
        <w:rPr>
          <w:rFonts w:ascii="Times New Roman" w:hAnsi="Times New Roman" w:cs="Times New Roman"/>
        </w:rPr>
        <w:t xml:space="preserve"> (</w:t>
      </w:r>
      <w:r w:rsidR="0046416F">
        <w:rPr>
          <w:rFonts w:ascii="Times New Roman" w:hAnsi="Times New Roman" w:cs="Times New Roman"/>
        </w:rPr>
        <w:t>4241</w:t>
      </w:r>
      <w:r w:rsidR="002A53CB">
        <w:rPr>
          <w:rFonts w:ascii="Times New Roman" w:hAnsi="Times New Roman" w:cs="Times New Roman"/>
        </w:rPr>
        <w:t>)</w:t>
      </w:r>
      <w:r w:rsidR="0046416F">
        <w:rPr>
          <w:rFonts w:ascii="Times New Roman" w:hAnsi="Times New Roman" w:cs="Times New Roman"/>
        </w:rPr>
        <w:t>.</w:t>
      </w:r>
    </w:p>
    <w:p w14:paraId="39C48D89" w14:textId="37D546EA" w:rsidR="00287F65" w:rsidRDefault="0046416F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Višak </w:t>
      </w:r>
      <w:r w:rsidR="00287F65" w:rsidRPr="00287F65">
        <w:rPr>
          <w:rFonts w:ascii="Times New Roman" w:hAnsi="Times New Roman" w:cs="Times New Roman"/>
          <w:b/>
        </w:rPr>
        <w:t>prihoda i primitaka</w:t>
      </w:r>
    </w:p>
    <w:p w14:paraId="070C941F" w14:textId="07426A3D" w:rsidR="00EF7EF7" w:rsidRPr="00277B54" w:rsidRDefault="0046416F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</w:t>
      </w:r>
      <w:r w:rsidR="00287F65" w:rsidRPr="00287F65">
        <w:rPr>
          <w:rFonts w:ascii="Times New Roman" w:hAnsi="Times New Roman" w:cs="Times New Roman"/>
        </w:rPr>
        <w:t xml:space="preserve"> prihoda </w:t>
      </w:r>
      <w:r w:rsidR="007D0993">
        <w:rPr>
          <w:rFonts w:ascii="Times New Roman" w:hAnsi="Times New Roman" w:cs="Times New Roman"/>
        </w:rPr>
        <w:t xml:space="preserve">tekuće godine </w:t>
      </w:r>
      <w:r w:rsidR="00287F65">
        <w:rPr>
          <w:rFonts w:ascii="Times New Roman" w:hAnsi="Times New Roman" w:cs="Times New Roman"/>
        </w:rPr>
        <w:t xml:space="preserve">iznosi </w:t>
      </w:r>
      <w:r w:rsidR="00E6374B">
        <w:rPr>
          <w:rFonts w:ascii="Times New Roman" w:hAnsi="Times New Roman" w:cs="Times New Roman"/>
          <w:color w:val="000000" w:themeColor="text1"/>
        </w:rPr>
        <w:t>441,</w:t>
      </w:r>
      <w:r w:rsidR="008D1A00">
        <w:rPr>
          <w:rFonts w:ascii="Times New Roman" w:hAnsi="Times New Roman" w:cs="Times New Roman"/>
          <w:color w:val="000000" w:themeColor="text1"/>
        </w:rPr>
        <w:t>42</w:t>
      </w:r>
      <w:r w:rsidR="00EF7EF7">
        <w:rPr>
          <w:rFonts w:ascii="Times New Roman" w:hAnsi="Times New Roman" w:cs="Times New Roman"/>
          <w:color w:val="000000" w:themeColor="text1"/>
        </w:rPr>
        <w:t xml:space="preserve"> EUR</w:t>
      </w:r>
      <w:r w:rsidR="00287F65">
        <w:rPr>
          <w:rFonts w:ascii="Times New Roman" w:hAnsi="Times New Roman" w:cs="Times New Roman"/>
        </w:rPr>
        <w:t>.</w:t>
      </w:r>
      <w:r w:rsidR="00A26914">
        <w:rPr>
          <w:rFonts w:ascii="Times New Roman" w:hAnsi="Times New Roman" w:cs="Times New Roman"/>
        </w:rPr>
        <w:t xml:space="preserve"> </w:t>
      </w:r>
    </w:p>
    <w:p w14:paraId="15A2FE02" w14:textId="5B2B308E" w:rsidR="004C5EAC" w:rsidRPr="00004FD9" w:rsidRDefault="00EF7EF7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Višak</w:t>
      </w:r>
      <w:r w:rsidR="0046416F">
        <w:rPr>
          <w:rFonts w:ascii="Times New Roman" w:hAnsi="Times New Roman" w:cs="Times New Roman"/>
          <w:b/>
          <w:bCs/>
        </w:rPr>
        <w:t xml:space="preserve"> </w:t>
      </w:r>
      <w:r w:rsidR="004C5EAC" w:rsidRPr="00004FD9">
        <w:rPr>
          <w:rFonts w:ascii="Times New Roman" w:hAnsi="Times New Roman" w:cs="Times New Roman"/>
          <w:b/>
          <w:bCs/>
        </w:rPr>
        <w:t>prihoda i primitaka – preneseni</w:t>
      </w:r>
    </w:p>
    <w:p w14:paraId="28F76201" w14:textId="5AF5F8E8" w:rsidR="004C5EAC" w:rsidRPr="00004FD9" w:rsidRDefault="00EF7EF7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</w:t>
      </w:r>
      <w:r w:rsidR="004C5EAC" w:rsidRPr="00004FD9">
        <w:rPr>
          <w:rFonts w:ascii="Times New Roman" w:hAnsi="Times New Roman" w:cs="Times New Roman"/>
        </w:rPr>
        <w:t xml:space="preserve"> prihoda i primitaka – preneseni iz prethodne godine iznosi </w:t>
      </w:r>
      <w:r>
        <w:rPr>
          <w:rFonts w:ascii="Times New Roman" w:hAnsi="Times New Roman" w:cs="Times New Roman"/>
        </w:rPr>
        <w:t>6.117,31 EUR</w:t>
      </w:r>
      <w:r w:rsidR="004C5EAC" w:rsidRPr="00004FD9">
        <w:rPr>
          <w:rFonts w:ascii="Times New Roman" w:hAnsi="Times New Roman" w:cs="Times New Roman"/>
        </w:rPr>
        <w:t>.</w:t>
      </w:r>
    </w:p>
    <w:p w14:paraId="35777A95" w14:textId="77777777" w:rsidR="004C5EAC" w:rsidRPr="009F6778" w:rsidRDefault="0046416F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Višak</w:t>
      </w:r>
      <w:r w:rsidR="004C5EAC" w:rsidRPr="009F6778">
        <w:rPr>
          <w:rFonts w:ascii="Times New Roman" w:hAnsi="Times New Roman" w:cs="Times New Roman"/>
          <w:b/>
          <w:bCs/>
        </w:rPr>
        <w:t xml:space="preserve"> prihoda i primitka </w:t>
      </w:r>
      <w:r w:rsidR="00A26914">
        <w:rPr>
          <w:rFonts w:ascii="Times New Roman" w:hAnsi="Times New Roman" w:cs="Times New Roman"/>
          <w:b/>
          <w:bCs/>
        </w:rPr>
        <w:t>za pokriće</w:t>
      </w:r>
      <w:r w:rsidR="004C5EAC" w:rsidRPr="009F6778">
        <w:rPr>
          <w:rFonts w:ascii="Times New Roman" w:hAnsi="Times New Roman" w:cs="Times New Roman"/>
          <w:b/>
          <w:bCs/>
        </w:rPr>
        <w:t xml:space="preserve"> u sljedećem razdoblju</w:t>
      </w:r>
    </w:p>
    <w:p w14:paraId="43A68523" w14:textId="64382452" w:rsidR="00A26914" w:rsidRDefault="00A26914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 poslovanja za 202</w:t>
      </w:r>
      <w:r w:rsidR="00EF7E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godinu je </w:t>
      </w:r>
      <w:r w:rsidR="0046416F">
        <w:rPr>
          <w:rFonts w:ascii="Times New Roman" w:hAnsi="Times New Roman" w:cs="Times New Roman"/>
        </w:rPr>
        <w:t xml:space="preserve">višak </w:t>
      </w:r>
      <w:r>
        <w:rPr>
          <w:rFonts w:ascii="Times New Roman" w:hAnsi="Times New Roman" w:cs="Times New Roman"/>
        </w:rPr>
        <w:t xml:space="preserve"> u iznosu </w:t>
      </w:r>
      <w:r w:rsidR="00EF7EF7">
        <w:rPr>
          <w:rFonts w:ascii="Times New Roman" w:hAnsi="Times New Roman" w:cs="Times New Roman"/>
        </w:rPr>
        <w:t>6.</w:t>
      </w:r>
      <w:r w:rsidR="00E6374B">
        <w:rPr>
          <w:rFonts w:ascii="Times New Roman" w:hAnsi="Times New Roman" w:cs="Times New Roman"/>
        </w:rPr>
        <w:t>558,</w:t>
      </w:r>
      <w:r w:rsidR="008D1A00">
        <w:rPr>
          <w:rFonts w:ascii="Times New Roman" w:hAnsi="Times New Roman" w:cs="Times New Roman"/>
        </w:rPr>
        <w:t>73</w:t>
      </w:r>
      <w:r w:rsidR="00EF7EF7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 xml:space="preserve">. Sastoji se od metodološkog manjka po izvoru financiranja 1.1 – Opći prihodi i primici – </w:t>
      </w:r>
      <w:r w:rsidR="009F429D">
        <w:rPr>
          <w:rFonts w:ascii="Times New Roman" w:hAnsi="Times New Roman" w:cs="Times New Roman"/>
        </w:rPr>
        <w:t xml:space="preserve">koji se odnosi na </w:t>
      </w:r>
      <w:r>
        <w:rPr>
          <w:rFonts w:ascii="Times New Roman" w:hAnsi="Times New Roman" w:cs="Times New Roman"/>
        </w:rPr>
        <w:t>sredstva Grada Labina kojima su podmirene obveze iz 12/202</w:t>
      </w:r>
      <w:r w:rsidR="00EF7EF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u mjesecu siječnju 202</w:t>
      </w:r>
      <w:r w:rsidR="00E6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u visini </w:t>
      </w:r>
      <w:r w:rsidR="00E6374B">
        <w:rPr>
          <w:rFonts w:ascii="Times New Roman" w:hAnsi="Times New Roman" w:cs="Times New Roman"/>
        </w:rPr>
        <w:t>6.148,53</w:t>
      </w:r>
      <w:r w:rsidR="00EF7EF7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 xml:space="preserve">, te viška prihoda i primitaka po ostalim izvorima financiranja u visini </w:t>
      </w:r>
      <w:r w:rsidR="00EF7EF7">
        <w:rPr>
          <w:rFonts w:ascii="Times New Roman" w:hAnsi="Times New Roman" w:cs="Times New Roman"/>
          <w:color w:val="000000" w:themeColor="text1"/>
        </w:rPr>
        <w:t>12.707,</w:t>
      </w:r>
      <w:r w:rsidR="008D1A00">
        <w:rPr>
          <w:rFonts w:ascii="Times New Roman" w:hAnsi="Times New Roman" w:cs="Times New Roman"/>
          <w:color w:val="000000" w:themeColor="text1"/>
        </w:rPr>
        <w:t>26</w:t>
      </w:r>
      <w:r w:rsidR="00EF7EF7">
        <w:rPr>
          <w:rFonts w:ascii="Times New Roman" w:hAnsi="Times New Roman" w:cs="Times New Roman"/>
          <w:color w:val="000000" w:themeColor="text1"/>
        </w:rPr>
        <w:t xml:space="preserve"> EUR</w:t>
      </w:r>
      <w:r w:rsidR="009F429D">
        <w:rPr>
          <w:rFonts w:ascii="Times New Roman" w:hAnsi="Times New Roman" w:cs="Times New Roman"/>
        </w:rPr>
        <w:t>.</w:t>
      </w:r>
    </w:p>
    <w:p w14:paraId="6B0BA90C" w14:textId="77777777" w:rsidR="00E961F5" w:rsidRPr="00287F65" w:rsidRDefault="00E961F5" w:rsidP="007A42DC">
      <w:pPr>
        <w:spacing w:line="360" w:lineRule="auto"/>
        <w:jc w:val="both"/>
        <w:rPr>
          <w:rFonts w:ascii="Times New Roman" w:hAnsi="Times New Roman" w:cs="Times New Roman"/>
        </w:rPr>
      </w:pPr>
    </w:p>
    <w:p w14:paraId="3961196F" w14:textId="77777777" w:rsidR="004C5EAC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4FD9">
        <w:rPr>
          <w:rFonts w:ascii="Times New Roman" w:hAnsi="Times New Roman" w:cs="Times New Roman"/>
          <w:b/>
          <w:bCs/>
          <w:u w:val="single"/>
        </w:rPr>
        <w:t>BILJEŠKE UZ BILANCU</w:t>
      </w:r>
    </w:p>
    <w:p w14:paraId="694D9FD6" w14:textId="74CE0637" w:rsidR="00885022" w:rsidRDefault="00885022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0221 Uredska oprema i namještaj</w:t>
      </w:r>
    </w:p>
    <w:p w14:paraId="1638DDC3" w14:textId="6A569B11" w:rsidR="006F50B3" w:rsidRDefault="00885022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Nabavljena je uredska stolica u vrijednosti od 165,00 EUR i računalna oprema (dva </w:t>
      </w:r>
      <w:r w:rsidR="00F04242">
        <w:rPr>
          <w:rFonts w:ascii="Times New Roman" w:hAnsi="Times New Roman" w:cs="Times New Roman"/>
        </w:rPr>
        <w:t>računala</w:t>
      </w:r>
      <w:r>
        <w:rPr>
          <w:rFonts w:ascii="Times New Roman" w:hAnsi="Times New Roman" w:cs="Times New Roman"/>
        </w:rPr>
        <w:t>) u vrijednosti od 2.735,00 EUR.</w:t>
      </w:r>
    </w:p>
    <w:p w14:paraId="62DF9C71" w14:textId="720BF106" w:rsidR="00885022" w:rsidRDefault="006F50B3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50B3">
        <w:rPr>
          <w:rFonts w:ascii="Times New Roman" w:hAnsi="Times New Roman" w:cs="Times New Roman"/>
          <w:b/>
          <w:bCs/>
        </w:rPr>
        <w:t>0227 Uređaji, strojevi i oprema za ostale namjene</w:t>
      </w:r>
      <w:r w:rsidR="00885022" w:rsidRPr="006F50B3">
        <w:rPr>
          <w:rFonts w:ascii="Times New Roman" w:hAnsi="Times New Roman" w:cs="Times New Roman"/>
          <w:b/>
          <w:bCs/>
        </w:rPr>
        <w:t xml:space="preserve"> </w:t>
      </w:r>
    </w:p>
    <w:p w14:paraId="27E48798" w14:textId="061C1476" w:rsidR="006F50B3" w:rsidRPr="006F50B3" w:rsidRDefault="0071191B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Nabavljeni su materijal i oprema za izgradnju optičkog linka te ugradnja mreže</w:t>
      </w:r>
      <w:r w:rsidR="008D0A64">
        <w:rPr>
          <w:rFonts w:ascii="Times New Roman" w:hAnsi="Times New Roman" w:cs="Times New Roman"/>
        </w:rPr>
        <w:t xml:space="preserve"> za povezivanje ustanove sa server sobom projekta e-Labin. Vrijednost opreme iznosi 975,00 EUR</w:t>
      </w:r>
      <w:r w:rsidR="00277B54">
        <w:rPr>
          <w:rFonts w:ascii="Times New Roman" w:hAnsi="Times New Roman" w:cs="Times New Roman"/>
        </w:rPr>
        <w:t>.</w:t>
      </w:r>
    </w:p>
    <w:p w14:paraId="19A22F8B" w14:textId="5D999DF5" w:rsidR="00885022" w:rsidRDefault="002526C9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0241</w:t>
      </w:r>
      <w:r w:rsidR="007927A2" w:rsidRPr="007927A2">
        <w:rPr>
          <w:rFonts w:ascii="Times New Roman" w:hAnsi="Times New Roman" w:cs="Times New Roman"/>
          <w:b/>
          <w:bCs/>
        </w:rPr>
        <w:t xml:space="preserve"> </w:t>
      </w:r>
      <w:r w:rsidR="00F95B5A">
        <w:rPr>
          <w:rFonts w:ascii="Times New Roman" w:hAnsi="Times New Roman" w:cs="Times New Roman"/>
          <w:b/>
          <w:bCs/>
        </w:rPr>
        <w:t>K</w:t>
      </w:r>
      <w:r w:rsidR="007927A2" w:rsidRPr="007927A2">
        <w:rPr>
          <w:rFonts w:ascii="Times New Roman" w:hAnsi="Times New Roman" w:cs="Times New Roman"/>
          <w:b/>
          <w:bCs/>
        </w:rPr>
        <w:t>njige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A9D7604" w14:textId="0A0CDFD9" w:rsidR="00F95B5A" w:rsidRDefault="00F95B5A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F95B5A">
        <w:rPr>
          <w:rFonts w:ascii="Times New Roman" w:hAnsi="Times New Roman" w:cs="Times New Roman"/>
          <w:bCs/>
        </w:rPr>
        <w:t>Nabavljen</w:t>
      </w:r>
      <w:r w:rsidR="00F04242">
        <w:rPr>
          <w:rFonts w:ascii="Times New Roman" w:hAnsi="Times New Roman" w:cs="Times New Roman"/>
          <w:bCs/>
        </w:rPr>
        <w:t>a je</w:t>
      </w:r>
      <w:r w:rsidRPr="00F95B5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nov</w:t>
      </w:r>
      <w:r w:rsidR="00F0424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knji</w:t>
      </w:r>
      <w:r w:rsidR="00F04242">
        <w:rPr>
          <w:rFonts w:ascii="Times New Roman" w:hAnsi="Times New Roman" w:cs="Times New Roman"/>
          <w:bCs/>
        </w:rPr>
        <w:t>žnična građa</w:t>
      </w:r>
      <w:r>
        <w:rPr>
          <w:rFonts w:ascii="Times New Roman" w:hAnsi="Times New Roman" w:cs="Times New Roman"/>
          <w:bCs/>
        </w:rPr>
        <w:t xml:space="preserve"> u vrijednosti</w:t>
      </w:r>
      <w:r w:rsidR="00F04242">
        <w:rPr>
          <w:rFonts w:ascii="Times New Roman" w:hAnsi="Times New Roman" w:cs="Times New Roman"/>
          <w:bCs/>
        </w:rPr>
        <w:t xml:space="preserve"> od</w:t>
      </w:r>
      <w:r>
        <w:rPr>
          <w:rFonts w:ascii="Times New Roman" w:hAnsi="Times New Roman" w:cs="Times New Roman"/>
          <w:bCs/>
        </w:rPr>
        <w:t xml:space="preserve"> </w:t>
      </w:r>
      <w:r w:rsidR="008D1A00">
        <w:rPr>
          <w:rFonts w:ascii="Times New Roman" w:hAnsi="Times New Roman" w:cs="Times New Roman"/>
          <w:bCs/>
        </w:rPr>
        <w:t>29.298,14</w:t>
      </w:r>
      <w:r w:rsidR="008D0A64">
        <w:rPr>
          <w:rFonts w:ascii="Times New Roman" w:hAnsi="Times New Roman" w:cs="Times New Roman"/>
          <w:bCs/>
        </w:rPr>
        <w:t xml:space="preserve"> EU</w:t>
      </w:r>
      <w:r w:rsidR="00F04242">
        <w:rPr>
          <w:rFonts w:ascii="Times New Roman" w:hAnsi="Times New Roman" w:cs="Times New Roman"/>
          <w:bCs/>
        </w:rPr>
        <w:t>- kupnja 28.</w:t>
      </w:r>
      <w:r w:rsidR="008D1A00">
        <w:rPr>
          <w:rFonts w:ascii="Times New Roman" w:hAnsi="Times New Roman" w:cs="Times New Roman"/>
          <w:bCs/>
        </w:rPr>
        <w:t>647,63</w:t>
      </w:r>
      <w:r w:rsidR="00F04242">
        <w:rPr>
          <w:rFonts w:ascii="Times New Roman" w:hAnsi="Times New Roman" w:cs="Times New Roman"/>
          <w:bCs/>
        </w:rPr>
        <w:t xml:space="preserve"> EUR;</w:t>
      </w:r>
      <w:r>
        <w:rPr>
          <w:rFonts w:ascii="Times New Roman" w:hAnsi="Times New Roman" w:cs="Times New Roman"/>
          <w:bCs/>
        </w:rPr>
        <w:t xml:space="preserve"> Pomoći </w:t>
      </w:r>
      <w:r w:rsidR="002526C9">
        <w:rPr>
          <w:rFonts w:ascii="Times New Roman" w:hAnsi="Times New Roman" w:cs="Times New Roman"/>
          <w:bCs/>
        </w:rPr>
        <w:t xml:space="preserve">iz drugih proračuna </w:t>
      </w:r>
      <w:r w:rsidR="00F04242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I</w:t>
      </w:r>
      <w:r w:rsidR="00F04242">
        <w:rPr>
          <w:rFonts w:ascii="Times New Roman" w:hAnsi="Times New Roman" w:cs="Times New Roman"/>
          <w:bCs/>
        </w:rPr>
        <w:t>starska Županija</w:t>
      </w:r>
      <w:r>
        <w:rPr>
          <w:rFonts w:ascii="Times New Roman" w:hAnsi="Times New Roman" w:cs="Times New Roman"/>
          <w:bCs/>
        </w:rPr>
        <w:t xml:space="preserve"> iz otkupa </w:t>
      </w:r>
      <w:r w:rsidR="008D0A64">
        <w:rPr>
          <w:rFonts w:ascii="Times New Roman" w:hAnsi="Times New Roman" w:cs="Times New Roman"/>
          <w:bCs/>
        </w:rPr>
        <w:t>428,31 EUR</w:t>
      </w:r>
      <w:r>
        <w:rPr>
          <w:rFonts w:ascii="Times New Roman" w:hAnsi="Times New Roman" w:cs="Times New Roman"/>
          <w:bCs/>
        </w:rPr>
        <w:t xml:space="preserve">; donacije knjiga </w:t>
      </w:r>
      <w:r w:rsidR="00F04242">
        <w:rPr>
          <w:rFonts w:ascii="Times New Roman" w:hAnsi="Times New Roman" w:cs="Times New Roman"/>
          <w:bCs/>
        </w:rPr>
        <w:t>fizičkih</w:t>
      </w:r>
      <w:r>
        <w:rPr>
          <w:rFonts w:ascii="Times New Roman" w:hAnsi="Times New Roman" w:cs="Times New Roman"/>
          <w:bCs/>
        </w:rPr>
        <w:t xml:space="preserve"> osoba</w:t>
      </w:r>
      <w:r w:rsidR="00F04242">
        <w:rPr>
          <w:rFonts w:ascii="Times New Roman" w:hAnsi="Times New Roman" w:cs="Times New Roman"/>
          <w:bCs/>
        </w:rPr>
        <w:t xml:space="preserve"> u iznosu od</w:t>
      </w:r>
      <w:r>
        <w:rPr>
          <w:rFonts w:ascii="Times New Roman" w:hAnsi="Times New Roman" w:cs="Times New Roman"/>
          <w:bCs/>
        </w:rPr>
        <w:t xml:space="preserve"> </w:t>
      </w:r>
      <w:r w:rsidR="008D0A64">
        <w:rPr>
          <w:rFonts w:ascii="Times New Roman" w:hAnsi="Times New Roman" w:cs="Times New Roman"/>
          <w:bCs/>
        </w:rPr>
        <w:t>222,20 EUR</w:t>
      </w:r>
      <w:r>
        <w:rPr>
          <w:rFonts w:ascii="Times New Roman" w:hAnsi="Times New Roman" w:cs="Times New Roman"/>
          <w:bCs/>
        </w:rPr>
        <w:t>.</w:t>
      </w:r>
    </w:p>
    <w:p w14:paraId="45C53C03" w14:textId="77777777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  <w:b/>
          <w:bCs/>
        </w:rPr>
        <w:t xml:space="preserve">049 Sitni inventar u upotrebi </w:t>
      </w:r>
    </w:p>
    <w:p w14:paraId="3A9C20A6" w14:textId="5A3191D3" w:rsidR="004C5EAC" w:rsidRDefault="00511D96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Nabavljen je sitan inventar u vrijednosti </w:t>
      </w:r>
      <w:r w:rsidR="00F21C0A">
        <w:rPr>
          <w:rFonts w:ascii="Times New Roman" w:hAnsi="Times New Roman" w:cs="Times New Roman"/>
        </w:rPr>
        <w:t>376,54 EUR</w:t>
      </w:r>
      <w:r>
        <w:rPr>
          <w:rFonts w:ascii="Times New Roman" w:hAnsi="Times New Roman" w:cs="Times New Roman"/>
        </w:rPr>
        <w:t>.</w:t>
      </w:r>
    </w:p>
    <w:p w14:paraId="129D46D1" w14:textId="77777777" w:rsidR="00511D96" w:rsidRDefault="002526C9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129</w:t>
      </w:r>
      <w:r w:rsidR="00511D96" w:rsidRPr="00511D96">
        <w:rPr>
          <w:rFonts w:ascii="Times New Roman" w:hAnsi="Times New Roman" w:cs="Times New Roman"/>
          <w:b/>
        </w:rPr>
        <w:t xml:space="preserve"> Ostala potraživanja</w:t>
      </w:r>
    </w:p>
    <w:p w14:paraId="36B2707B" w14:textId="6745FDF5" w:rsidR="00511D96" w:rsidRDefault="00511D96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511D96">
        <w:rPr>
          <w:rFonts w:ascii="Times New Roman" w:hAnsi="Times New Roman" w:cs="Times New Roman"/>
        </w:rPr>
        <w:t>Odnosi se na potraživanje prema Gradu Labinu</w:t>
      </w:r>
      <w:r>
        <w:rPr>
          <w:rFonts w:ascii="Times New Roman" w:hAnsi="Times New Roman" w:cs="Times New Roman"/>
        </w:rPr>
        <w:t xml:space="preserve"> </w:t>
      </w:r>
      <w:r w:rsidR="002C6ED8">
        <w:rPr>
          <w:rFonts w:ascii="Times New Roman" w:hAnsi="Times New Roman" w:cs="Times New Roman"/>
        </w:rPr>
        <w:t>2.654,46 EUR</w:t>
      </w:r>
      <w:r>
        <w:rPr>
          <w:rFonts w:ascii="Times New Roman" w:hAnsi="Times New Roman" w:cs="Times New Roman"/>
        </w:rPr>
        <w:t xml:space="preserve"> iz početnog stanja, </w:t>
      </w:r>
      <w:r w:rsidR="00F21C0A">
        <w:rPr>
          <w:rFonts w:ascii="Times New Roman" w:hAnsi="Times New Roman" w:cs="Times New Roman"/>
        </w:rPr>
        <w:t>156,50 EUR</w:t>
      </w:r>
      <w:r>
        <w:rPr>
          <w:rFonts w:ascii="Times New Roman" w:hAnsi="Times New Roman" w:cs="Times New Roman"/>
        </w:rPr>
        <w:t xml:space="preserve"> potraživanje za refundaciju bolovanja od HZZO</w:t>
      </w:r>
      <w:r w:rsidR="00C63AED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 xml:space="preserve"> za </w:t>
      </w:r>
      <w:r w:rsidR="00F21C0A">
        <w:rPr>
          <w:rFonts w:ascii="Times New Roman" w:hAnsi="Times New Roman" w:cs="Times New Roman"/>
        </w:rPr>
        <w:t>Laru Knapić Pamić</w:t>
      </w:r>
      <w:r w:rsidR="0096406A">
        <w:rPr>
          <w:rFonts w:ascii="Times New Roman" w:hAnsi="Times New Roman" w:cs="Times New Roman"/>
        </w:rPr>
        <w:t xml:space="preserve"> za listopad</w:t>
      </w:r>
      <w:r w:rsidR="00F21C0A">
        <w:rPr>
          <w:rFonts w:ascii="Times New Roman" w:hAnsi="Times New Roman" w:cs="Times New Roman"/>
        </w:rPr>
        <w:t>, studeni i prosinac i 265,93 EUR za potraživanje za više plaćenu struju.</w:t>
      </w:r>
    </w:p>
    <w:p w14:paraId="7691ED21" w14:textId="66E22192" w:rsidR="00511D96" w:rsidRDefault="0096406A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166</w:t>
      </w:r>
      <w:r w:rsidR="00511D96" w:rsidRPr="00511D96">
        <w:rPr>
          <w:rFonts w:ascii="Times New Roman" w:hAnsi="Times New Roman" w:cs="Times New Roman"/>
          <w:b/>
        </w:rPr>
        <w:t xml:space="preserve"> Potraživanje za prihode od prodaje proizvoda i pruženih usluga</w:t>
      </w:r>
    </w:p>
    <w:p w14:paraId="57431202" w14:textId="2C408143" w:rsidR="00511D96" w:rsidRPr="00511D96" w:rsidRDefault="00511D96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511D96">
        <w:rPr>
          <w:rFonts w:ascii="Times New Roman" w:hAnsi="Times New Roman" w:cs="Times New Roman"/>
        </w:rPr>
        <w:t xml:space="preserve">Odnosi se na </w:t>
      </w:r>
      <w:r>
        <w:rPr>
          <w:rFonts w:ascii="Times New Roman" w:hAnsi="Times New Roman" w:cs="Times New Roman"/>
        </w:rPr>
        <w:t>neplaćen</w:t>
      </w:r>
      <w:r w:rsidR="00F21C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račun</w:t>
      </w:r>
      <w:r w:rsidR="00F21C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 uslugu najma dvorane za 1</w:t>
      </w:r>
      <w:r w:rsidR="00F263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F21C0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F21C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21C0A">
        <w:rPr>
          <w:rFonts w:ascii="Times New Roman" w:hAnsi="Times New Roman" w:cs="Times New Roman"/>
        </w:rPr>
        <w:t xml:space="preserve"> – Udruženje obrtnika Labin i </w:t>
      </w:r>
      <w:r w:rsidR="00F26326">
        <w:rPr>
          <w:rFonts w:ascii="Times New Roman" w:hAnsi="Times New Roman" w:cs="Times New Roman"/>
        </w:rPr>
        <w:t xml:space="preserve">za 12/2023. - </w:t>
      </w:r>
      <w:r w:rsidR="00F21C0A">
        <w:rPr>
          <w:rFonts w:ascii="Times New Roman" w:hAnsi="Times New Roman" w:cs="Times New Roman"/>
        </w:rPr>
        <w:t>Crveni križ Labin.</w:t>
      </w:r>
    </w:p>
    <w:p w14:paraId="4316BCDB" w14:textId="77777777" w:rsidR="00113711" w:rsidRDefault="0096406A" w:rsidP="007A4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167</w:t>
      </w:r>
      <w:r w:rsidR="00113711" w:rsidRPr="00113711">
        <w:rPr>
          <w:rFonts w:ascii="Times New Roman" w:hAnsi="Times New Roman" w:cs="Times New Roman"/>
          <w:b/>
        </w:rPr>
        <w:t xml:space="preserve"> Potraživanje za prihode iz proračuna</w:t>
      </w:r>
    </w:p>
    <w:p w14:paraId="5A57E723" w14:textId="77777777" w:rsidR="0096406A" w:rsidRDefault="00113711" w:rsidP="0096406A">
      <w:pPr>
        <w:spacing w:line="240" w:lineRule="auto"/>
        <w:jc w:val="both"/>
        <w:rPr>
          <w:rFonts w:ascii="Times New Roman" w:hAnsi="Times New Roman" w:cs="Times New Roman"/>
        </w:rPr>
      </w:pPr>
      <w:r w:rsidRPr="00405BC6">
        <w:rPr>
          <w:rFonts w:ascii="Times New Roman" w:hAnsi="Times New Roman" w:cs="Times New Roman"/>
        </w:rPr>
        <w:t xml:space="preserve">Konto 167 predstavlja </w:t>
      </w:r>
      <w:r>
        <w:rPr>
          <w:rFonts w:ascii="Times New Roman" w:hAnsi="Times New Roman" w:cs="Times New Roman"/>
        </w:rPr>
        <w:t>naš žiro račun za sredstva koja su uplaćena u proračun koji je nama nadležan.</w:t>
      </w:r>
    </w:p>
    <w:p w14:paraId="794B11C9" w14:textId="77777777" w:rsidR="00924036" w:rsidRPr="0096406A" w:rsidRDefault="004C5EAC" w:rsidP="0096406A">
      <w:pPr>
        <w:spacing w:line="24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  <w:b/>
          <w:bCs/>
        </w:rPr>
        <w:t>Obveze</w:t>
      </w:r>
    </w:p>
    <w:p w14:paraId="4FF657AF" w14:textId="7FDF42DF" w:rsidR="0043774F" w:rsidRDefault="00924036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C5EAC" w:rsidRPr="00004FD9">
        <w:rPr>
          <w:rFonts w:ascii="Times New Roman" w:hAnsi="Times New Roman" w:cs="Times New Roman"/>
        </w:rPr>
        <w:t xml:space="preserve">znos od </w:t>
      </w:r>
      <w:r w:rsidR="00F21C0A">
        <w:rPr>
          <w:rFonts w:ascii="Times New Roman" w:hAnsi="Times New Roman" w:cs="Times New Roman"/>
        </w:rPr>
        <w:t>7</w:t>
      </w:r>
      <w:r w:rsidR="00BB4F50">
        <w:rPr>
          <w:rFonts w:ascii="Times New Roman" w:hAnsi="Times New Roman" w:cs="Times New Roman"/>
        </w:rPr>
        <w:t>.</w:t>
      </w:r>
      <w:r w:rsidR="00F21C0A">
        <w:rPr>
          <w:rFonts w:ascii="Times New Roman" w:hAnsi="Times New Roman" w:cs="Times New Roman"/>
        </w:rPr>
        <w:t>480,12 EUR</w:t>
      </w:r>
      <w:r w:rsidR="00556CE1">
        <w:rPr>
          <w:rFonts w:ascii="Times New Roman" w:hAnsi="Times New Roman" w:cs="Times New Roman"/>
        </w:rPr>
        <w:t xml:space="preserve"> </w:t>
      </w:r>
      <w:r w:rsidR="00F21C0A">
        <w:rPr>
          <w:rFonts w:ascii="Times New Roman" w:hAnsi="Times New Roman" w:cs="Times New Roman"/>
        </w:rPr>
        <w:t>o</w:t>
      </w:r>
      <w:r w:rsidR="004C5EAC" w:rsidRPr="00004FD9">
        <w:rPr>
          <w:rFonts w:ascii="Times New Roman" w:hAnsi="Times New Roman" w:cs="Times New Roman"/>
        </w:rPr>
        <w:t xml:space="preserve">dnosi se na obveze za zaposlene </w:t>
      </w:r>
      <w:r w:rsidR="00556CE1">
        <w:rPr>
          <w:rFonts w:ascii="Times New Roman" w:hAnsi="Times New Roman" w:cs="Times New Roman"/>
        </w:rPr>
        <w:t>za plaću za 12/2</w:t>
      </w:r>
      <w:r w:rsidR="00F21C0A">
        <w:rPr>
          <w:rFonts w:ascii="Times New Roman" w:hAnsi="Times New Roman" w:cs="Times New Roman"/>
        </w:rPr>
        <w:t>3</w:t>
      </w:r>
      <w:r w:rsidR="00556CE1">
        <w:rPr>
          <w:rFonts w:ascii="Times New Roman" w:hAnsi="Times New Roman" w:cs="Times New Roman"/>
        </w:rPr>
        <w:t>, isplata u siječnju 202</w:t>
      </w:r>
      <w:r w:rsidR="00F21C0A">
        <w:rPr>
          <w:rFonts w:ascii="Times New Roman" w:hAnsi="Times New Roman" w:cs="Times New Roman"/>
        </w:rPr>
        <w:t>4</w:t>
      </w:r>
      <w:r w:rsidR="0043774F">
        <w:rPr>
          <w:rFonts w:ascii="Times New Roman" w:hAnsi="Times New Roman" w:cs="Times New Roman"/>
        </w:rPr>
        <w:t>.</w:t>
      </w:r>
      <w:r w:rsidR="00C63AED">
        <w:rPr>
          <w:rFonts w:ascii="Times New Roman" w:hAnsi="Times New Roman" w:cs="Times New Roman"/>
        </w:rPr>
        <w:t xml:space="preserve"> godine,</w:t>
      </w:r>
      <w:r w:rsidR="0043774F">
        <w:rPr>
          <w:rFonts w:ascii="Times New Roman" w:hAnsi="Times New Roman" w:cs="Times New Roman"/>
        </w:rPr>
        <w:t xml:space="preserve"> </w:t>
      </w:r>
      <w:r w:rsidR="00556CE1">
        <w:rPr>
          <w:rFonts w:ascii="Times New Roman" w:hAnsi="Times New Roman" w:cs="Times New Roman"/>
        </w:rPr>
        <w:t xml:space="preserve">obveze za </w:t>
      </w:r>
      <w:r w:rsidR="004C5EAC" w:rsidRPr="00004FD9">
        <w:rPr>
          <w:rFonts w:ascii="Times New Roman" w:hAnsi="Times New Roman" w:cs="Times New Roman"/>
        </w:rPr>
        <w:t xml:space="preserve"> materijalne rashode</w:t>
      </w:r>
      <w:r w:rsidR="00556CE1">
        <w:rPr>
          <w:rFonts w:ascii="Times New Roman" w:hAnsi="Times New Roman" w:cs="Times New Roman"/>
        </w:rPr>
        <w:t xml:space="preserve"> </w:t>
      </w:r>
      <w:r w:rsidR="00C63AED">
        <w:rPr>
          <w:rFonts w:ascii="Times New Roman" w:hAnsi="Times New Roman" w:cs="Times New Roman"/>
        </w:rPr>
        <w:t xml:space="preserve">u iznosu od </w:t>
      </w:r>
      <w:r w:rsidR="00F21C0A">
        <w:rPr>
          <w:rFonts w:ascii="Times New Roman" w:hAnsi="Times New Roman" w:cs="Times New Roman"/>
        </w:rPr>
        <w:t>870,90 EUR</w:t>
      </w:r>
      <w:r w:rsidR="009C6BD8">
        <w:rPr>
          <w:rFonts w:ascii="Times New Roman" w:hAnsi="Times New Roman" w:cs="Times New Roman"/>
        </w:rPr>
        <w:t>, te obveze za nabavu nefinancijske imovine u iznosu od 980,00 EUR.</w:t>
      </w:r>
    </w:p>
    <w:p w14:paraId="388EC498" w14:textId="77777777" w:rsidR="004C5EAC" w:rsidRDefault="008A5A97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AOP 23</w:t>
      </w:r>
      <w:r w:rsidR="00777337">
        <w:rPr>
          <w:rFonts w:ascii="Times New Roman" w:hAnsi="Times New Roman" w:cs="Times New Roman"/>
          <w:b/>
          <w:bCs/>
        </w:rPr>
        <w:t>9</w:t>
      </w:r>
      <w:r w:rsidR="004C5EAC" w:rsidRPr="00004FD9">
        <w:rPr>
          <w:rFonts w:ascii="Times New Roman" w:hAnsi="Times New Roman" w:cs="Times New Roman"/>
          <w:b/>
          <w:bCs/>
        </w:rPr>
        <w:t xml:space="preserve"> Višak</w:t>
      </w:r>
      <w:r w:rsidR="00777337">
        <w:rPr>
          <w:rFonts w:ascii="Times New Roman" w:hAnsi="Times New Roman" w:cs="Times New Roman"/>
          <w:b/>
          <w:bCs/>
        </w:rPr>
        <w:t>/manjak</w:t>
      </w:r>
      <w:r w:rsidR="004C5EAC" w:rsidRPr="00004FD9">
        <w:rPr>
          <w:rFonts w:ascii="Times New Roman" w:hAnsi="Times New Roman" w:cs="Times New Roman"/>
          <w:b/>
          <w:bCs/>
        </w:rPr>
        <w:t xml:space="preserve"> prihoda </w:t>
      </w:r>
    </w:p>
    <w:p w14:paraId="5818C3E6" w14:textId="77777777" w:rsidR="00D67B7F" w:rsidRDefault="00D67B7F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u bilanci iskazani su nakon p</w:t>
      </w:r>
      <w:r w:rsidR="00777337">
        <w:rPr>
          <w:rFonts w:ascii="Times New Roman" w:hAnsi="Times New Roman" w:cs="Times New Roman"/>
        </w:rPr>
        <w:t>rovedene obvezne korekcije rezultata za kapitalne prijenose sredstava</w:t>
      </w:r>
      <w:r w:rsidR="0086534E">
        <w:rPr>
          <w:rFonts w:ascii="Times New Roman" w:hAnsi="Times New Roman" w:cs="Times New Roman"/>
        </w:rPr>
        <w:t xml:space="preserve"> kojima se financira nabava nefinancijske imovine</w:t>
      </w:r>
      <w:r>
        <w:rPr>
          <w:rFonts w:ascii="Times New Roman" w:hAnsi="Times New Roman" w:cs="Times New Roman"/>
        </w:rPr>
        <w:t>.</w:t>
      </w:r>
    </w:p>
    <w:p w14:paraId="49202FBD" w14:textId="7C6FEFF9" w:rsidR="00777337" w:rsidRDefault="00D67B7F" w:rsidP="007A4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Korekcija rezultata </w:t>
      </w:r>
      <w:r w:rsidR="0086534E">
        <w:rPr>
          <w:rFonts w:ascii="Times New Roman" w:hAnsi="Times New Roman" w:cs="Times New Roman"/>
        </w:rPr>
        <w:t xml:space="preserve">za kapitalne prijenose </w:t>
      </w:r>
      <w:r>
        <w:rPr>
          <w:rFonts w:ascii="Times New Roman" w:hAnsi="Times New Roman" w:cs="Times New Roman"/>
        </w:rPr>
        <w:t>od</w:t>
      </w:r>
      <w:r w:rsidR="0086534E">
        <w:rPr>
          <w:rFonts w:ascii="Times New Roman" w:hAnsi="Times New Roman" w:cs="Times New Roman"/>
        </w:rPr>
        <w:t xml:space="preserve"> proračuna koji nam nije nadležan iznos</w:t>
      </w:r>
      <w:r>
        <w:rPr>
          <w:rFonts w:ascii="Times New Roman" w:hAnsi="Times New Roman" w:cs="Times New Roman"/>
        </w:rPr>
        <w:t>i</w:t>
      </w:r>
      <w:r w:rsidR="0086534E">
        <w:rPr>
          <w:rFonts w:ascii="Times New Roman" w:hAnsi="Times New Roman" w:cs="Times New Roman"/>
        </w:rPr>
        <w:t xml:space="preserve"> </w:t>
      </w:r>
      <w:r w:rsidR="00174329">
        <w:rPr>
          <w:rFonts w:ascii="Times New Roman" w:hAnsi="Times New Roman" w:cs="Times New Roman"/>
        </w:rPr>
        <w:t>20.684,63 EUR</w:t>
      </w:r>
      <w:r>
        <w:rPr>
          <w:rFonts w:ascii="Times New Roman" w:hAnsi="Times New Roman" w:cs="Times New Roman"/>
        </w:rPr>
        <w:t>,</w:t>
      </w:r>
      <w:r w:rsidRPr="00D67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kapitalne prijenose od nadležnog proračuna </w:t>
      </w:r>
      <w:r w:rsidR="00174329">
        <w:rPr>
          <w:rFonts w:ascii="Times New Roman" w:hAnsi="Times New Roman" w:cs="Times New Roman"/>
        </w:rPr>
        <w:t>10.</w:t>
      </w:r>
      <w:r w:rsidR="00576E2C">
        <w:rPr>
          <w:rFonts w:ascii="Times New Roman" w:hAnsi="Times New Roman" w:cs="Times New Roman"/>
        </w:rPr>
        <w:t>697,92</w:t>
      </w:r>
      <w:r w:rsidR="00174329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,</w:t>
      </w:r>
      <w:r w:rsidR="0086534E">
        <w:rPr>
          <w:rFonts w:ascii="Times New Roman" w:hAnsi="Times New Roman" w:cs="Times New Roman"/>
        </w:rPr>
        <w:t xml:space="preserve"> te donacije ostalih osoba </w:t>
      </w:r>
      <w:r w:rsidR="00174329">
        <w:rPr>
          <w:rFonts w:ascii="Times New Roman" w:hAnsi="Times New Roman" w:cs="Times New Roman"/>
        </w:rPr>
        <w:t>222,20 EUR</w:t>
      </w:r>
      <w:r w:rsidR="0086534E">
        <w:rPr>
          <w:rFonts w:ascii="Times New Roman" w:hAnsi="Times New Roman" w:cs="Times New Roman"/>
        </w:rPr>
        <w:t>, na način da se zadužuje račun viška prihoda poslovanja, a odobrava račun manjka prihoda od nefinancijske imovine.</w:t>
      </w:r>
    </w:p>
    <w:p w14:paraId="72D42FB0" w14:textId="77777777" w:rsidR="00777337" w:rsidRDefault="00777337" w:rsidP="004C5EAC">
      <w:pPr>
        <w:spacing w:line="360" w:lineRule="auto"/>
        <w:rPr>
          <w:rFonts w:ascii="Times New Roman" w:hAnsi="Times New Roman" w:cs="Times New Roman"/>
          <w:b/>
          <w:bCs/>
        </w:rPr>
      </w:pPr>
      <w:r w:rsidRPr="00777337">
        <w:rPr>
          <w:rFonts w:ascii="Times New Roman" w:hAnsi="Times New Roman" w:cs="Times New Roman"/>
          <w:b/>
          <w:bCs/>
        </w:rPr>
        <w:t>Popis ugovornih obveza</w:t>
      </w:r>
    </w:p>
    <w:p w14:paraId="51365E75" w14:textId="77777777" w:rsidR="00777337" w:rsidRDefault="00777337" w:rsidP="004C5EA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Gradska knjižnica Labin nema ugovornih odnosa koji uz ispunjenje određenih uvjeta mogu postati obveza ili imovina.</w:t>
      </w:r>
    </w:p>
    <w:p w14:paraId="2DD2A185" w14:textId="77777777" w:rsidR="007A42DC" w:rsidRDefault="00777337" w:rsidP="004C5EAC">
      <w:pPr>
        <w:spacing w:line="360" w:lineRule="auto"/>
        <w:rPr>
          <w:rFonts w:ascii="Times New Roman" w:hAnsi="Times New Roman" w:cs="Times New Roman"/>
          <w:b/>
          <w:bCs/>
        </w:rPr>
      </w:pPr>
      <w:r w:rsidRPr="00777337">
        <w:rPr>
          <w:rFonts w:ascii="Times New Roman" w:hAnsi="Times New Roman" w:cs="Times New Roman"/>
          <w:b/>
          <w:bCs/>
        </w:rPr>
        <w:t xml:space="preserve">Popis </w:t>
      </w:r>
      <w:r>
        <w:rPr>
          <w:rFonts w:ascii="Times New Roman" w:hAnsi="Times New Roman" w:cs="Times New Roman"/>
          <w:b/>
          <w:bCs/>
        </w:rPr>
        <w:t>sudskih sporova u tijeku</w:t>
      </w:r>
    </w:p>
    <w:p w14:paraId="048B3E31" w14:textId="77777777" w:rsidR="00777337" w:rsidRPr="00777337" w:rsidRDefault="00777337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77337">
        <w:rPr>
          <w:rFonts w:ascii="Times New Roman" w:hAnsi="Times New Roman" w:cs="Times New Roman"/>
          <w:bCs/>
        </w:rPr>
        <w:t xml:space="preserve">Gradska knjižnica Labin </w:t>
      </w:r>
      <w:r>
        <w:rPr>
          <w:rFonts w:ascii="Times New Roman" w:hAnsi="Times New Roman" w:cs="Times New Roman"/>
          <w:bCs/>
        </w:rPr>
        <w:t>nema potencijalnih obveza po osnovi sudskih sporova u tijeku.</w:t>
      </w:r>
    </w:p>
    <w:p w14:paraId="6CDD8D3A" w14:textId="77777777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4FD9">
        <w:rPr>
          <w:rFonts w:ascii="Times New Roman" w:hAnsi="Times New Roman" w:cs="Times New Roman"/>
          <w:b/>
          <w:bCs/>
          <w:u w:val="single"/>
        </w:rPr>
        <w:t>BILJEŠKE UZ P-VRIO</w:t>
      </w:r>
    </w:p>
    <w:p w14:paraId="0A7FE974" w14:textId="6D1C9C52" w:rsidR="00924036" w:rsidRDefault="00556CE1" w:rsidP="007A42D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Odnosi se na </w:t>
      </w:r>
      <w:r w:rsidR="00367495">
        <w:rPr>
          <w:rFonts w:ascii="Times New Roman" w:hAnsi="Times New Roman" w:cs="Times New Roman"/>
          <w:b/>
          <w:bCs/>
        </w:rPr>
        <w:t xml:space="preserve"> </w:t>
      </w:r>
      <w:r w:rsidR="00367495">
        <w:rPr>
          <w:rFonts w:ascii="Times New Roman" w:hAnsi="Times New Roman" w:cs="Times New Roman"/>
        </w:rPr>
        <w:t>promjen</w:t>
      </w:r>
      <w:r w:rsidR="002711F5">
        <w:rPr>
          <w:rFonts w:ascii="Times New Roman" w:hAnsi="Times New Roman" w:cs="Times New Roman"/>
        </w:rPr>
        <w:t>u</w:t>
      </w:r>
      <w:r w:rsidR="00367495">
        <w:rPr>
          <w:rFonts w:ascii="Times New Roman" w:hAnsi="Times New Roman" w:cs="Times New Roman"/>
        </w:rPr>
        <w:t xml:space="preserve"> u obujmu imovine u </w:t>
      </w:r>
      <w:r>
        <w:rPr>
          <w:rFonts w:ascii="Times New Roman" w:hAnsi="Times New Roman" w:cs="Times New Roman"/>
        </w:rPr>
        <w:t xml:space="preserve">iznosu </w:t>
      </w:r>
      <w:r w:rsidR="00174329">
        <w:rPr>
          <w:rFonts w:ascii="Times New Roman" w:hAnsi="Times New Roman" w:cs="Times New Roman"/>
        </w:rPr>
        <w:t>428,31 EUR</w:t>
      </w:r>
      <w:r>
        <w:rPr>
          <w:rFonts w:ascii="Times New Roman" w:hAnsi="Times New Roman" w:cs="Times New Roman"/>
        </w:rPr>
        <w:t xml:space="preserve"> za knjige primljene iz pomoći proračuna koji nam nisu nadležni.</w:t>
      </w:r>
    </w:p>
    <w:p w14:paraId="682BB286" w14:textId="77777777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4FD9">
        <w:rPr>
          <w:rFonts w:ascii="Times New Roman" w:hAnsi="Times New Roman" w:cs="Times New Roman"/>
          <w:b/>
          <w:bCs/>
          <w:u w:val="single"/>
        </w:rPr>
        <w:t>BILJEŠKE UZ IZVJEŠTAJ O OBVEZAMA</w:t>
      </w:r>
    </w:p>
    <w:p w14:paraId="6F6C9F09" w14:textId="5EC771E4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t>Stanje obveza 01. siječnja 20</w:t>
      </w:r>
      <w:r w:rsidR="00EA1E96">
        <w:rPr>
          <w:rFonts w:ascii="Times New Roman" w:hAnsi="Times New Roman" w:cs="Times New Roman"/>
          <w:b/>
          <w:bCs/>
        </w:rPr>
        <w:t>2</w:t>
      </w:r>
      <w:r w:rsidR="00174329">
        <w:rPr>
          <w:rFonts w:ascii="Times New Roman" w:hAnsi="Times New Roman" w:cs="Times New Roman"/>
          <w:b/>
          <w:bCs/>
        </w:rPr>
        <w:t>3</w:t>
      </w:r>
      <w:r w:rsidRPr="00004FD9">
        <w:rPr>
          <w:rFonts w:ascii="Times New Roman" w:hAnsi="Times New Roman" w:cs="Times New Roman"/>
          <w:b/>
          <w:bCs/>
        </w:rPr>
        <w:t xml:space="preserve">. </w:t>
      </w:r>
      <w:r w:rsidR="00C63AED">
        <w:rPr>
          <w:rFonts w:ascii="Times New Roman" w:hAnsi="Times New Roman" w:cs="Times New Roman"/>
          <w:b/>
          <w:bCs/>
        </w:rPr>
        <w:t>g</w:t>
      </w:r>
      <w:r w:rsidRPr="00004FD9">
        <w:rPr>
          <w:rFonts w:ascii="Times New Roman" w:hAnsi="Times New Roman" w:cs="Times New Roman"/>
          <w:b/>
          <w:bCs/>
        </w:rPr>
        <w:t>odine</w:t>
      </w:r>
    </w:p>
    <w:p w14:paraId="351E0CBD" w14:textId="2A4AC1AC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04FD9">
        <w:rPr>
          <w:rFonts w:ascii="Times New Roman" w:hAnsi="Times New Roman" w:cs="Times New Roman"/>
          <w:bCs/>
        </w:rPr>
        <w:t>Stanje obveza 01. siječnja 20</w:t>
      </w:r>
      <w:r w:rsidR="00EA1E96">
        <w:rPr>
          <w:rFonts w:ascii="Times New Roman" w:hAnsi="Times New Roman" w:cs="Times New Roman"/>
          <w:bCs/>
        </w:rPr>
        <w:t>2</w:t>
      </w:r>
      <w:r w:rsidR="00174329">
        <w:rPr>
          <w:rFonts w:ascii="Times New Roman" w:hAnsi="Times New Roman" w:cs="Times New Roman"/>
          <w:bCs/>
        </w:rPr>
        <w:t>3</w:t>
      </w:r>
      <w:r w:rsidRPr="00004FD9">
        <w:rPr>
          <w:rFonts w:ascii="Times New Roman" w:hAnsi="Times New Roman" w:cs="Times New Roman"/>
          <w:bCs/>
        </w:rPr>
        <w:t xml:space="preserve">. godine iznosile su </w:t>
      </w:r>
      <w:r w:rsidR="00174329">
        <w:rPr>
          <w:rFonts w:ascii="Times New Roman" w:hAnsi="Times New Roman" w:cs="Times New Roman"/>
          <w:bCs/>
        </w:rPr>
        <w:t>8.409,25 EUR</w:t>
      </w:r>
      <w:r w:rsidRPr="00004FD9">
        <w:rPr>
          <w:rFonts w:ascii="Times New Roman" w:hAnsi="Times New Roman" w:cs="Times New Roman"/>
          <w:bCs/>
        </w:rPr>
        <w:t xml:space="preserve"> te su sve podmirene tijekom 20</w:t>
      </w:r>
      <w:r w:rsidR="00EA1E96">
        <w:rPr>
          <w:rFonts w:ascii="Times New Roman" w:hAnsi="Times New Roman" w:cs="Times New Roman"/>
          <w:bCs/>
        </w:rPr>
        <w:t>2</w:t>
      </w:r>
      <w:r w:rsidR="00174329">
        <w:rPr>
          <w:rFonts w:ascii="Times New Roman" w:hAnsi="Times New Roman" w:cs="Times New Roman"/>
          <w:bCs/>
        </w:rPr>
        <w:t>3</w:t>
      </w:r>
      <w:r w:rsidRPr="00004FD9">
        <w:rPr>
          <w:rFonts w:ascii="Times New Roman" w:hAnsi="Times New Roman" w:cs="Times New Roman"/>
          <w:bCs/>
        </w:rPr>
        <w:t>. godine prema rokovima dospijeća.</w:t>
      </w:r>
    </w:p>
    <w:p w14:paraId="5CDB7ADC" w14:textId="77777777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04FD9">
        <w:rPr>
          <w:rFonts w:ascii="Times New Roman" w:hAnsi="Times New Roman" w:cs="Times New Roman"/>
          <w:b/>
          <w:bCs/>
        </w:rPr>
        <w:lastRenderedPageBreak/>
        <w:t>Stanje obveza na kraju izvještajnog razdoblja</w:t>
      </w:r>
    </w:p>
    <w:p w14:paraId="6B053FB5" w14:textId="2FF29420" w:rsidR="004C5EAC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Ukupno stanje obveza na kraju 20</w:t>
      </w:r>
      <w:r w:rsidR="00680F20">
        <w:rPr>
          <w:rFonts w:ascii="Times New Roman" w:hAnsi="Times New Roman" w:cs="Times New Roman"/>
        </w:rPr>
        <w:t>2</w:t>
      </w:r>
      <w:r w:rsidR="00174329">
        <w:rPr>
          <w:rFonts w:ascii="Times New Roman" w:hAnsi="Times New Roman" w:cs="Times New Roman"/>
        </w:rPr>
        <w:t>3</w:t>
      </w:r>
      <w:r w:rsidRPr="00004FD9">
        <w:rPr>
          <w:rFonts w:ascii="Times New Roman" w:hAnsi="Times New Roman" w:cs="Times New Roman"/>
        </w:rPr>
        <w:t xml:space="preserve">. godine iznosi </w:t>
      </w:r>
      <w:r w:rsidR="00174329">
        <w:rPr>
          <w:rFonts w:ascii="Times New Roman" w:hAnsi="Times New Roman" w:cs="Times New Roman"/>
        </w:rPr>
        <w:t>9.331,02 EUR</w:t>
      </w:r>
      <w:r w:rsidR="007A42DC">
        <w:rPr>
          <w:rFonts w:ascii="Times New Roman" w:hAnsi="Times New Roman" w:cs="Times New Roman"/>
        </w:rPr>
        <w:t>, a odnos</w:t>
      </w:r>
      <w:r w:rsidR="00C63AED">
        <w:rPr>
          <w:rFonts w:ascii="Times New Roman" w:hAnsi="Times New Roman" w:cs="Times New Roman"/>
        </w:rPr>
        <w:t>i</w:t>
      </w:r>
      <w:r w:rsidRPr="00004FD9">
        <w:rPr>
          <w:rFonts w:ascii="Times New Roman" w:hAnsi="Times New Roman" w:cs="Times New Roman"/>
        </w:rPr>
        <w:t xml:space="preserve"> se na obveze za plaću </w:t>
      </w:r>
      <w:r w:rsidR="00C63AED">
        <w:rPr>
          <w:rFonts w:ascii="Times New Roman" w:hAnsi="Times New Roman" w:cs="Times New Roman"/>
        </w:rPr>
        <w:t xml:space="preserve"> za </w:t>
      </w:r>
      <w:r w:rsidRPr="00004FD9">
        <w:rPr>
          <w:rFonts w:ascii="Times New Roman" w:hAnsi="Times New Roman" w:cs="Times New Roman"/>
        </w:rPr>
        <w:t>12/20</w:t>
      </w:r>
      <w:r w:rsidR="00EA1E96">
        <w:rPr>
          <w:rFonts w:ascii="Times New Roman" w:hAnsi="Times New Roman" w:cs="Times New Roman"/>
        </w:rPr>
        <w:t>2</w:t>
      </w:r>
      <w:r w:rsidR="00174329">
        <w:rPr>
          <w:rFonts w:ascii="Times New Roman" w:hAnsi="Times New Roman" w:cs="Times New Roman"/>
        </w:rPr>
        <w:t>3</w:t>
      </w:r>
      <w:r w:rsidRPr="00004FD9">
        <w:rPr>
          <w:rFonts w:ascii="Times New Roman" w:hAnsi="Times New Roman" w:cs="Times New Roman"/>
        </w:rPr>
        <w:t>. koja je isplaćena u 202</w:t>
      </w:r>
      <w:r w:rsidR="00174329">
        <w:rPr>
          <w:rFonts w:ascii="Times New Roman" w:hAnsi="Times New Roman" w:cs="Times New Roman"/>
        </w:rPr>
        <w:t>4</w:t>
      </w:r>
      <w:r w:rsidR="00EA1E96">
        <w:rPr>
          <w:rFonts w:ascii="Times New Roman" w:hAnsi="Times New Roman" w:cs="Times New Roman"/>
        </w:rPr>
        <w:t xml:space="preserve">. </w:t>
      </w:r>
      <w:r w:rsidR="00C63AED">
        <w:rPr>
          <w:rFonts w:ascii="Times New Roman" w:hAnsi="Times New Roman" w:cs="Times New Roman"/>
        </w:rPr>
        <w:t>godini</w:t>
      </w:r>
      <w:r w:rsidR="00EA1E96">
        <w:rPr>
          <w:rFonts w:ascii="Times New Roman" w:hAnsi="Times New Roman" w:cs="Times New Roman"/>
        </w:rPr>
        <w:t>, te obveze</w:t>
      </w:r>
      <w:r w:rsidRPr="00004FD9">
        <w:rPr>
          <w:rFonts w:ascii="Times New Roman" w:hAnsi="Times New Roman" w:cs="Times New Roman"/>
        </w:rPr>
        <w:t xml:space="preserve"> za materijalne rashode za 12/20</w:t>
      </w:r>
      <w:r w:rsidR="00EA1E96">
        <w:rPr>
          <w:rFonts w:ascii="Times New Roman" w:hAnsi="Times New Roman" w:cs="Times New Roman"/>
        </w:rPr>
        <w:t>2</w:t>
      </w:r>
      <w:r w:rsidR="00174329">
        <w:rPr>
          <w:rFonts w:ascii="Times New Roman" w:hAnsi="Times New Roman" w:cs="Times New Roman"/>
        </w:rPr>
        <w:t>3</w:t>
      </w:r>
      <w:r w:rsidRPr="00004FD9">
        <w:rPr>
          <w:rFonts w:ascii="Times New Roman" w:hAnsi="Times New Roman" w:cs="Times New Roman"/>
        </w:rPr>
        <w:t>.</w:t>
      </w:r>
    </w:p>
    <w:p w14:paraId="17A2AFBE" w14:textId="77777777" w:rsidR="00174329" w:rsidRPr="00004FD9" w:rsidRDefault="00174329" w:rsidP="007A42DC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A42DC" w14:paraId="496A2C6C" w14:textId="77777777" w:rsidTr="007A42DC">
        <w:tc>
          <w:tcPr>
            <w:tcW w:w="3096" w:type="dxa"/>
          </w:tcPr>
          <w:p w14:paraId="4369F146" w14:textId="77777777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096" w:type="dxa"/>
          </w:tcPr>
          <w:p w14:paraId="5259E145" w14:textId="2F3060B5" w:rsidR="007A42DC" w:rsidRDefault="007A42DC" w:rsidP="00301D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na dan 31.</w:t>
            </w:r>
            <w:r w:rsidR="00C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</w:t>
            </w:r>
            <w:r w:rsidR="00C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A27D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6" w:type="dxa"/>
          </w:tcPr>
          <w:p w14:paraId="5D2401E9" w14:textId="1EC09755" w:rsidR="007A42DC" w:rsidRDefault="007A42DC" w:rsidP="00301D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na dan 31.</w:t>
            </w:r>
            <w:r w:rsidR="00C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</w:t>
            </w:r>
            <w:r w:rsidR="00C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A27D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42DC" w14:paraId="18AD5CCF" w14:textId="77777777" w:rsidTr="007A42DC">
        <w:tc>
          <w:tcPr>
            <w:tcW w:w="3096" w:type="dxa"/>
          </w:tcPr>
          <w:p w14:paraId="093710D7" w14:textId="77777777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Obveze za zaposlene</w:t>
            </w:r>
          </w:p>
        </w:tc>
        <w:tc>
          <w:tcPr>
            <w:tcW w:w="3096" w:type="dxa"/>
          </w:tcPr>
          <w:p w14:paraId="208DC746" w14:textId="7C533CB2" w:rsidR="007A42DC" w:rsidRDefault="00A27DA2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6.260,46</w:t>
            </w:r>
          </w:p>
        </w:tc>
        <w:tc>
          <w:tcPr>
            <w:tcW w:w="3096" w:type="dxa"/>
          </w:tcPr>
          <w:p w14:paraId="7A22809F" w14:textId="6FB18F6C" w:rsidR="007A42DC" w:rsidRDefault="00BB4F50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7.480,12</w:t>
            </w:r>
          </w:p>
        </w:tc>
      </w:tr>
      <w:tr w:rsidR="007A42DC" w14:paraId="366DD22C" w14:textId="77777777" w:rsidTr="007A42DC">
        <w:tc>
          <w:tcPr>
            <w:tcW w:w="3096" w:type="dxa"/>
          </w:tcPr>
          <w:p w14:paraId="4DCE2D37" w14:textId="77777777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Obveze za materijalne rashode</w:t>
            </w:r>
          </w:p>
        </w:tc>
        <w:tc>
          <w:tcPr>
            <w:tcW w:w="3096" w:type="dxa"/>
          </w:tcPr>
          <w:p w14:paraId="79A983C6" w14:textId="54F1E387" w:rsidR="007A42DC" w:rsidRDefault="00A27DA2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2.148,79</w:t>
            </w:r>
          </w:p>
        </w:tc>
        <w:tc>
          <w:tcPr>
            <w:tcW w:w="3096" w:type="dxa"/>
          </w:tcPr>
          <w:p w14:paraId="7731393D" w14:textId="64E39243" w:rsidR="007A42DC" w:rsidRDefault="00BB4F50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870,90</w:t>
            </w:r>
          </w:p>
        </w:tc>
      </w:tr>
      <w:tr w:rsidR="007A42DC" w14:paraId="5B92BB67" w14:textId="77777777" w:rsidTr="007A42DC">
        <w:tc>
          <w:tcPr>
            <w:tcW w:w="3096" w:type="dxa"/>
          </w:tcPr>
          <w:p w14:paraId="2E24A2F3" w14:textId="77777777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Obveze za financijske rashode</w:t>
            </w:r>
          </w:p>
        </w:tc>
        <w:tc>
          <w:tcPr>
            <w:tcW w:w="3096" w:type="dxa"/>
          </w:tcPr>
          <w:p w14:paraId="4E8C0A43" w14:textId="5EB28CEE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D7278D7" w14:textId="77777777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A42DC" w14:paraId="5515703E" w14:textId="77777777" w:rsidTr="007A42DC">
        <w:tc>
          <w:tcPr>
            <w:tcW w:w="3096" w:type="dxa"/>
          </w:tcPr>
          <w:p w14:paraId="272C3C74" w14:textId="77777777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Obveze za nabavu nematerijalne imovine</w:t>
            </w:r>
          </w:p>
        </w:tc>
        <w:tc>
          <w:tcPr>
            <w:tcW w:w="3096" w:type="dxa"/>
          </w:tcPr>
          <w:p w14:paraId="67180667" w14:textId="02D56CF8" w:rsidR="007A42DC" w:rsidRDefault="007A42DC" w:rsidP="004C5E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1FBA9C93" w14:textId="2F4CD4D7" w:rsidR="007A42DC" w:rsidRDefault="00BB4F50" w:rsidP="004C5E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980,00</w:t>
            </w:r>
          </w:p>
        </w:tc>
      </w:tr>
      <w:tr w:rsidR="007A42DC" w14:paraId="545AFC96" w14:textId="77777777" w:rsidTr="00BB4F50">
        <w:trPr>
          <w:trHeight w:val="230"/>
        </w:trPr>
        <w:tc>
          <w:tcPr>
            <w:tcW w:w="3096" w:type="dxa"/>
          </w:tcPr>
          <w:p w14:paraId="327FE73F" w14:textId="77777777" w:rsidR="007A42DC" w:rsidRPr="007A42DC" w:rsidRDefault="007A42DC" w:rsidP="004C5E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42D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3096" w:type="dxa"/>
          </w:tcPr>
          <w:p w14:paraId="6FD724DD" w14:textId="09877E0A" w:rsidR="007A42DC" w:rsidRPr="007A42DC" w:rsidRDefault="00A27DA2" w:rsidP="004C5E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8.409,25</w:t>
            </w:r>
          </w:p>
        </w:tc>
        <w:tc>
          <w:tcPr>
            <w:tcW w:w="3096" w:type="dxa"/>
          </w:tcPr>
          <w:p w14:paraId="2BAE2F58" w14:textId="03B9DF5D" w:rsidR="007A42DC" w:rsidRPr="007A42DC" w:rsidRDefault="00BB4F50" w:rsidP="007A42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9.331,02</w:t>
            </w:r>
          </w:p>
        </w:tc>
      </w:tr>
    </w:tbl>
    <w:p w14:paraId="4198FA7B" w14:textId="77777777" w:rsidR="00E272CF" w:rsidRDefault="00E272CF" w:rsidP="007A42DC">
      <w:pPr>
        <w:spacing w:line="360" w:lineRule="auto"/>
        <w:jc w:val="both"/>
        <w:rPr>
          <w:rFonts w:ascii="Times New Roman" w:hAnsi="Times New Roman" w:cs="Times New Roman"/>
        </w:rPr>
      </w:pPr>
    </w:p>
    <w:p w14:paraId="24CE216B" w14:textId="77777777" w:rsidR="004925CD" w:rsidRDefault="004925CD" w:rsidP="007A42DC">
      <w:pPr>
        <w:spacing w:line="360" w:lineRule="auto"/>
        <w:jc w:val="both"/>
        <w:rPr>
          <w:rFonts w:ascii="Times New Roman" w:hAnsi="Times New Roman" w:cs="Times New Roman"/>
        </w:rPr>
      </w:pPr>
    </w:p>
    <w:p w14:paraId="12E4CC75" w14:textId="77777777" w:rsidR="004C5EAC" w:rsidRPr="00004FD9" w:rsidRDefault="004C5EAC" w:rsidP="007A42D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4FD9">
        <w:rPr>
          <w:rFonts w:ascii="Times New Roman" w:hAnsi="Times New Roman" w:cs="Times New Roman"/>
          <w:b/>
          <w:bCs/>
          <w:u w:val="single"/>
        </w:rPr>
        <w:t>BILJEŠKE UZ OBRAZAC  RAS - funkcijski</w:t>
      </w:r>
    </w:p>
    <w:p w14:paraId="6E845C06" w14:textId="0059C791" w:rsidR="004C5EAC" w:rsidRDefault="004C5EAC" w:rsidP="007A42DC">
      <w:pPr>
        <w:spacing w:line="360" w:lineRule="auto"/>
        <w:jc w:val="both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Stanje ostvareno u tekućoj godini u iznosu od </w:t>
      </w:r>
      <w:r w:rsidR="006645FA">
        <w:rPr>
          <w:rFonts w:ascii="Times New Roman" w:hAnsi="Times New Roman" w:cs="Times New Roman"/>
        </w:rPr>
        <w:t>177.937,44 EUR</w:t>
      </w:r>
      <w:r w:rsidRPr="00004FD9">
        <w:rPr>
          <w:rFonts w:ascii="Times New Roman" w:hAnsi="Times New Roman" w:cs="Times New Roman"/>
        </w:rPr>
        <w:t xml:space="preserve"> odgovara zbroju rashoda poslovanja </w:t>
      </w:r>
      <w:r w:rsidR="004925CD">
        <w:rPr>
          <w:rFonts w:ascii="Times New Roman" w:hAnsi="Times New Roman" w:cs="Times New Roman"/>
        </w:rPr>
        <w:t>Y034</w:t>
      </w:r>
      <w:r w:rsidRPr="00004FD9">
        <w:rPr>
          <w:rFonts w:ascii="Times New Roman" w:hAnsi="Times New Roman" w:cs="Times New Roman"/>
        </w:rPr>
        <w:t xml:space="preserve"> PR-RAS.</w:t>
      </w:r>
    </w:p>
    <w:p w14:paraId="66CB42DF" w14:textId="77777777" w:rsidR="00E272CF" w:rsidRDefault="00E272CF" w:rsidP="007A42DC">
      <w:pPr>
        <w:spacing w:line="360" w:lineRule="auto"/>
        <w:jc w:val="both"/>
        <w:rPr>
          <w:rFonts w:ascii="Times New Roman" w:hAnsi="Times New Roman" w:cs="Times New Roman"/>
        </w:rPr>
      </w:pPr>
    </w:p>
    <w:p w14:paraId="1ED1460C" w14:textId="77777777" w:rsidR="00E272CF" w:rsidRPr="00004FD9" w:rsidRDefault="00E272CF" w:rsidP="007A42DC">
      <w:pPr>
        <w:spacing w:line="360" w:lineRule="auto"/>
        <w:jc w:val="both"/>
        <w:rPr>
          <w:rFonts w:ascii="Times New Roman" w:hAnsi="Times New Roman" w:cs="Times New Roman"/>
        </w:rPr>
      </w:pPr>
    </w:p>
    <w:p w14:paraId="5D78F673" w14:textId="3D32E686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U Labinu </w:t>
      </w:r>
      <w:r w:rsidR="004925CD">
        <w:rPr>
          <w:rFonts w:ascii="Times New Roman" w:hAnsi="Times New Roman" w:cs="Times New Roman"/>
        </w:rPr>
        <w:t>30</w:t>
      </w:r>
      <w:r w:rsidR="00717F65">
        <w:rPr>
          <w:rFonts w:ascii="Times New Roman" w:hAnsi="Times New Roman" w:cs="Times New Roman"/>
        </w:rPr>
        <w:t>.</w:t>
      </w:r>
      <w:r w:rsidR="008523A2">
        <w:rPr>
          <w:rFonts w:ascii="Times New Roman" w:hAnsi="Times New Roman" w:cs="Times New Roman"/>
        </w:rPr>
        <w:t xml:space="preserve"> </w:t>
      </w:r>
      <w:r w:rsidR="00717F65">
        <w:rPr>
          <w:rFonts w:ascii="Times New Roman" w:hAnsi="Times New Roman" w:cs="Times New Roman"/>
        </w:rPr>
        <w:t>01</w:t>
      </w:r>
      <w:r w:rsidR="00826EE3">
        <w:rPr>
          <w:rFonts w:ascii="Times New Roman" w:hAnsi="Times New Roman" w:cs="Times New Roman"/>
        </w:rPr>
        <w:t>.</w:t>
      </w:r>
      <w:r w:rsidR="008523A2">
        <w:rPr>
          <w:rFonts w:ascii="Times New Roman" w:hAnsi="Times New Roman" w:cs="Times New Roman"/>
        </w:rPr>
        <w:t xml:space="preserve"> </w:t>
      </w:r>
      <w:r w:rsidR="00826EE3">
        <w:rPr>
          <w:rFonts w:ascii="Times New Roman" w:hAnsi="Times New Roman" w:cs="Times New Roman"/>
        </w:rPr>
        <w:t>202</w:t>
      </w:r>
      <w:r w:rsidR="007B6B98">
        <w:rPr>
          <w:rFonts w:ascii="Times New Roman" w:hAnsi="Times New Roman" w:cs="Times New Roman"/>
        </w:rPr>
        <w:t>4</w:t>
      </w:r>
      <w:r w:rsidRPr="00004FD9">
        <w:rPr>
          <w:rFonts w:ascii="Times New Roman" w:hAnsi="Times New Roman" w:cs="Times New Roman"/>
        </w:rPr>
        <w:t>.</w:t>
      </w:r>
    </w:p>
    <w:p w14:paraId="04938D8C" w14:textId="77777777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Osoba za kontakt: </w:t>
      </w:r>
      <w:r w:rsidR="004925CD">
        <w:rPr>
          <w:rFonts w:ascii="Times New Roman" w:hAnsi="Times New Roman" w:cs="Times New Roman"/>
        </w:rPr>
        <w:t>Lara Knapić Pamić</w:t>
      </w:r>
    </w:p>
    <w:p w14:paraId="2BA9D953" w14:textId="77777777" w:rsidR="004C5EAC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Tel.: 052/852-257</w:t>
      </w:r>
    </w:p>
    <w:p w14:paraId="2E031819" w14:textId="77777777" w:rsidR="00717F65" w:rsidRPr="00004FD9" w:rsidRDefault="004C5EAC" w:rsidP="004C5EAC">
      <w:pPr>
        <w:spacing w:line="360" w:lineRule="auto"/>
        <w:contextualSpacing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>Odgovorna osoba: Silvia Fiamengo, prof. i dipl.</w:t>
      </w:r>
      <w:r w:rsidR="008523A2">
        <w:rPr>
          <w:rFonts w:ascii="Times New Roman" w:hAnsi="Times New Roman" w:cs="Times New Roman"/>
        </w:rPr>
        <w:t xml:space="preserve"> </w:t>
      </w:r>
      <w:r w:rsidRPr="00004FD9">
        <w:rPr>
          <w:rFonts w:ascii="Times New Roman" w:hAnsi="Times New Roman" w:cs="Times New Roman"/>
        </w:rPr>
        <w:t>bibl.</w:t>
      </w:r>
    </w:p>
    <w:p w14:paraId="47C053D8" w14:textId="77777777" w:rsidR="004C5EAC" w:rsidRDefault="004C5EAC" w:rsidP="004C5EAC">
      <w:pPr>
        <w:spacing w:line="360" w:lineRule="auto"/>
        <w:jc w:val="right"/>
        <w:rPr>
          <w:rFonts w:ascii="Times New Roman" w:hAnsi="Times New Roman" w:cs="Times New Roman"/>
        </w:rPr>
      </w:pPr>
    </w:p>
    <w:p w14:paraId="385D5A5D" w14:textId="77777777" w:rsidR="00E272CF" w:rsidRPr="00004FD9" w:rsidRDefault="00E272CF" w:rsidP="004C5EAC">
      <w:pPr>
        <w:spacing w:line="360" w:lineRule="auto"/>
        <w:jc w:val="right"/>
        <w:rPr>
          <w:rFonts w:ascii="Times New Roman" w:hAnsi="Times New Roman" w:cs="Times New Roman"/>
        </w:rPr>
      </w:pPr>
    </w:p>
    <w:p w14:paraId="706073E7" w14:textId="77777777" w:rsidR="004C5EAC" w:rsidRPr="00004FD9" w:rsidRDefault="004C5EAC" w:rsidP="004C5EAC">
      <w:pPr>
        <w:spacing w:line="360" w:lineRule="auto"/>
        <w:jc w:val="right"/>
        <w:rPr>
          <w:rFonts w:ascii="Times New Roman" w:hAnsi="Times New Roman" w:cs="Times New Roman"/>
        </w:rPr>
      </w:pPr>
      <w:r w:rsidRPr="00004F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523A2" w:rsidRPr="00004FD9">
        <w:rPr>
          <w:rFonts w:ascii="Times New Roman" w:hAnsi="Times New Roman" w:cs="Times New Roman"/>
        </w:rPr>
        <w:t>RAVNATELJICA</w:t>
      </w:r>
    </w:p>
    <w:p w14:paraId="3F4B681E" w14:textId="77777777" w:rsidR="004C5EAC" w:rsidRPr="004C5EAC" w:rsidRDefault="004C5EAC" w:rsidP="007A42DC">
      <w:pPr>
        <w:spacing w:line="360" w:lineRule="auto"/>
      </w:pPr>
      <w:r w:rsidRPr="00004FD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17F65">
        <w:rPr>
          <w:rFonts w:ascii="Times New Roman" w:hAnsi="Times New Roman" w:cs="Times New Roman"/>
        </w:rPr>
        <w:t xml:space="preserve">               </w:t>
      </w:r>
      <w:r w:rsidRPr="00004FD9">
        <w:rPr>
          <w:rFonts w:ascii="Times New Roman" w:hAnsi="Times New Roman" w:cs="Times New Roman"/>
        </w:rPr>
        <w:t xml:space="preserve">   Silvia Fiamengo, prof. i dipl.</w:t>
      </w:r>
      <w:r w:rsidR="008523A2">
        <w:rPr>
          <w:rFonts w:ascii="Times New Roman" w:hAnsi="Times New Roman" w:cs="Times New Roman"/>
        </w:rPr>
        <w:t xml:space="preserve"> </w:t>
      </w:r>
      <w:r w:rsidRPr="00004FD9">
        <w:rPr>
          <w:rFonts w:ascii="Times New Roman" w:hAnsi="Times New Roman" w:cs="Times New Roman"/>
        </w:rPr>
        <w:t>bibl.</w:t>
      </w:r>
    </w:p>
    <w:sectPr w:rsidR="004C5EAC" w:rsidRPr="004C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7AB"/>
    <w:multiLevelType w:val="hybridMultilevel"/>
    <w:tmpl w:val="2A184F2E"/>
    <w:lvl w:ilvl="0" w:tplc="E00A9958">
      <w:start w:val="17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F16"/>
    <w:rsid w:val="00042F82"/>
    <w:rsid w:val="000438AA"/>
    <w:rsid w:val="00044B3C"/>
    <w:rsid w:val="00067792"/>
    <w:rsid w:val="0009534E"/>
    <w:rsid w:val="00113711"/>
    <w:rsid w:val="00123118"/>
    <w:rsid w:val="00174329"/>
    <w:rsid w:val="00175682"/>
    <w:rsid w:val="00181A72"/>
    <w:rsid w:val="001E5E12"/>
    <w:rsid w:val="001E7B8A"/>
    <w:rsid w:val="002034B8"/>
    <w:rsid w:val="002526C9"/>
    <w:rsid w:val="002711F5"/>
    <w:rsid w:val="00277B54"/>
    <w:rsid w:val="00287F65"/>
    <w:rsid w:val="002938A9"/>
    <w:rsid w:val="002A53CB"/>
    <w:rsid w:val="002B2FB9"/>
    <w:rsid w:val="002C6ED8"/>
    <w:rsid w:val="002D46A9"/>
    <w:rsid w:val="00300A03"/>
    <w:rsid w:val="00301D9F"/>
    <w:rsid w:val="003374C7"/>
    <w:rsid w:val="00367495"/>
    <w:rsid w:val="00395E5C"/>
    <w:rsid w:val="003A402A"/>
    <w:rsid w:val="003A5F5A"/>
    <w:rsid w:val="00416165"/>
    <w:rsid w:val="0043774F"/>
    <w:rsid w:val="0046416F"/>
    <w:rsid w:val="00471AE3"/>
    <w:rsid w:val="004925CD"/>
    <w:rsid w:val="004A6350"/>
    <w:rsid w:val="004C5EAC"/>
    <w:rsid w:val="00510EE0"/>
    <w:rsid w:val="00511D96"/>
    <w:rsid w:val="005442D4"/>
    <w:rsid w:val="0054567A"/>
    <w:rsid w:val="00556CE1"/>
    <w:rsid w:val="00576E2C"/>
    <w:rsid w:val="005B3C2D"/>
    <w:rsid w:val="005E780F"/>
    <w:rsid w:val="005F222E"/>
    <w:rsid w:val="006645FA"/>
    <w:rsid w:val="00680F20"/>
    <w:rsid w:val="006A5B50"/>
    <w:rsid w:val="006D7D5B"/>
    <w:rsid w:val="006F50B3"/>
    <w:rsid w:val="0071191B"/>
    <w:rsid w:val="00717F65"/>
    <w:rsid w:val="00724D98"/>
    <w:rsid w:val="00751E44"/>
    <w:rsid w:val="0076458F"/>
    <w:rsid w:val="00777337"/>
    <w:rsid w:val="007927A2"/>
    <w:rsid w:val="007A42DC"/>
    <w:rsid w:val="007B6B98"/>
    <w:rsid w:val="007D0993"/>
    <w:rsid w:val="007D7826"/>
    <w:rsid w:val="00826EE3"/>
    <w:rsid w:val="008523A2"/>
    <w:rsid w:val="00860BBB"/>
    <w:rsid w:val="008649D8"/>
    <w:rsid w:val="0086534E"/>
    <w:rsid w:val="00875E77"/>
    <w:rsid w:val="00884168"/>
    <w:rsid w:val="00885022"/>
    <w:rsid w:val="008A5A97"/>
    <w:rsid w:val="008D0136"/>
    <w:rsid w:val="008D0A64"/>
    <w:rsid w:val="008D1A00"/>
    <w:rsid w:val="008D3862"/>
    <w:rsid w:val="008E34AB"/>
    <w:rsid w:val="00924036"/>
    <w:rsid w:val="0093576A"/>
    <w:rsid w:val="0096406A"/>
    <w:rsid w:val="009C6BD8"/>
    <w:rsid w:val="009F429D"/>
    <w:rsid w:val="009F6778"/>
    <w:rsid w:val="00A24B80"/>
    <w:rsid w:val="00A26914"/>
    <w:rsid w:val="00A27DA2"/>
    <w:rsid w:val="00A32F1F"/>
    <w:rsid w:val="00A40B75"/>
    <w:rsid w:val="00A60D41"/>
    <w:rsid w:val="00A818A8"/>
    <w:rsid w:val="00AC151D"/>
    <w:rsid w:val="00AC1F16"/>
    <w:rsid w:val="00B734B4"/>
    <w:rsid w:val="00BA0358"/>
    <w:rsid w:val="00BA4891"/>
    <w:rsid w:val="00BB4F50"/>
    <w:rsid w:val="00BD282A"/>
    <w:rsid w:val="00C170B2"/>
    <w:rsid w:val="00C33135"/>
    <w:rsid w:val="00C63AED"/>
    <w:rsid w:val="00C90CC0"/>
    <w:rsid w:val="00CB7EEF"/>
    <w:rsid w:val="00D24281"/>
    <w:rsid w:val="00D35E23"/>
    <w:rsid w:val="00D67B7F"/>
    <w:rsid w:val="00D86CE6"/>
    <w:rsid w:val="00DA48AD"/>
    <w:rsid w:val="00E04A58"/>
    <w:rsid w:val="00E272CF"/>
    <w:rsid w:val="00E6374B"/>
    <w:rsid w:val="00E961F5"/>
    <w:rsid w:val="00EA091D"/>
    <w:rsid w:val="00EA0F9C"/>
    <w:rsid w:val="00EA1E96"/>
    <w:rsid w:val="00EF7EF7"/>
    <w:rsid w:val="00F04242"/>
    <w:rsid w:val="00F1318C"/>
    <w:rsid w:val="00F21C0A"/>
    <w:rsid w:val="00F26326"/>
    <w:rsid w:val="00F40046"/>
    <w:rsid w:val="00F95B5A"/>
    <w:rsid w:val="00FE2FA3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5F35"/>
  <w15:docId w15:val="{7AFF47D3-2FF4-4E46-B71C-291E91D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AC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778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6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7B7F"/>
    <w:pPr>
      <w:ind w:left="720"/>
      <w:contextualSpacing/>
    </w:pPr>
  </w:style>
  <w:style w:type="paragraph" w:styleId="Revizija">
    <w:name w:val="Revision"/>
    <w:hidden/>
    <w:uiPriority w:val="99"/>
    <w:semiHidden/>
    <w:rsid w:val="0009534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A054-7EF0-4C93-8200-841604DF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32</cp:revision>
  <cp:lastPrinted>2024-01-30T11:56:00Z</cp:lastPrinted>
  <dcterms:created xsi:type="dcterms:W3CDTF">2023-01-30T13:06:00Z</dcterms:created>
  <dcterms:modified xsi:type="dcterms:W3CDTF">2024-01-31T11:04:00Z</dcterms:modified>
</cp:coreProperties>
</file>