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EA93" w14:textId="05C941A2" w:rsidR="000A3381" w:rsidRDefault="00A618E2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E7972E" wp14:editId="139F8373">
            <wp:extent cx="5067300" cy="1479407"/>
            <wp:effectExtent l="0" t="0" r="0" b="6985"/>
            <wp:docPr id="1107319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19077" name="Slika 11073190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672" cy="148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E5E0" w14:textId="51CA6B0E" w:rsidR="00A618E2" w:rsidRPr="002D5E26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2D5E26">
        <w:rPr>
          <w:rFonts w:ascii="Arial" w:hAnsi="Arial" w:cs="Arial"/>
          <w:sz w:val="24"/>
          <w:szCs w:val="24"/>
        </w:rPr>
        <w:t>KLASA: 400-02/2</w:t>
      </w:r>
      <w:r w:rsidR="002D5E26" w:rsidRPr="002D5E26">
        <w:rPr>
          <w:rFonts w:ascii="Arial" w:hAnsi="Arial" w:cs="Arial"/>
          <w:sz w:val="24"/>
          <w:szCs w:val="24"/>
        </w:rPr>
        <w:t>4</w:t>
      </w:r>
      <w:r w:rsidRPr="002D5E26">
        <w:rPr>
          <w:rFonts w:ascii="Arial" w:hAnsi="Arial" w:cs="Arial"/>
          <w:sz w:val="24"/>
          <w:szCs w:val="24"/>
        </w:rPr>
        <w:t>-01/</w:t>
      </w:r>
      <w:r w:rsidR="002D5E26" w:rsidRPr="002D5E26">
        <w:rPr>
          <w:rFonts w:ascii="Arial" w:hAnsi="Arial" w:cs="Arial"/>
          <w:sz w:val="24"/>
          <w:szCs w:val="24"/>
        </w:rPr>
        <w:t>1</w:t>
      </w:r>
    </w:p>
    <w:p w14:paraId="50EC8C8E" w14:textId="692F17BD" w:rsidR="00A618E2" w:rsidRPr="002D5E26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2D5E26">
        <w:rPr>
          <w:rFonts w:ascii="Arial" w:hAnsi="Arial" w:cs="Arial"/>
          <w:sz w:val="24"/>
          <w:szCs w:val="24"/>
        </w:rPr>
        <w:t>UR.BR.: 2163-4-6-02-2</w:t>
      </w:r>
      <w:r w:rsidR="002D5E26" w:rsidRPr="002D5E26">
        <w:rPr>
          <w:rFonts w:ascii="Arial" w:hAnsi="Arial" w:cs="Arial"/>
          <w:sz w:val="24"/>
          <w:szCs w:val="24"/>
        </w:rPr>
        <w:t>5</w:t>
      </w:r>
      <w:r w:rsidRPr="002D5E26">
        <w:rPr>
          <w:rFonts w:ascii="Arial" w:hAnsi="Arial" w:cs="Arial"/>
          <w:sz w:val="24"/>
          <w:szCs w:val="24"/>
        </w:rPr>
        <w:t>-</w:t>
      </w:r>
      <w:r w:rsidR="000026E1">
        <w:rPr>
          <w:rFonts w:ascii="Arial" w:hAnsi="Arial" w:cs="Arial"/>
          <w:sz w:val="24"/>
          <w:szCs w:val="24"/>
        </w:rPr>
        <w:t>5</w:t>
      </w:r>
    </w:p>
    <w:p w14:paraId="1DD8F6AF" w14:textId="77777777" w:rsidR="00A618E2" w:rsidRPr="007B2FAC" w:rsidRDefault="00A618E2" w:rsidP="00A618E2">
      <w:pPr>
        <w:contextualSpacing/>
        <w:rPr>
          <w:rFonts w:ascii="Arial" w:hAnsi="Arial" w:cs="Arial"/>
          <w:sz w:val="24"/>
          <w:szCs w:val="24"/>
        </w:rPr>
      </w:pPr>
    </w:p>
    <w:p w14:paraId="277C5BE9" w14:textId="235644BB" w:rsidR="00A618E2" w:rsidRPr="007B2FAC" w:rsidRDefault="00A618E2" w:rsidP="00A618E2">
      <w:pPr>
        <w:contextualSpacing/>
        <w:rPr>
          <w:rFonts w:ascii="Arial" w:hAnsi="Arial" w:cs="Arial"/>
          <w:sz w:val="24"/>
          <w:szCs w:val="24"/>
        </w:rPr>
      </w:pPr>
      <w:r w:rsidRPr="007B2FAC">
        <w:rPr>
          <w:rFonts w:ascii="Arial" w:hAnsi="Arial" w:cs="Arial"/>
          <w:sz w:val="24"/>
          <w:szCs w:val="24"/>
        </w:rPr>
        <w:t xml:space="preserve">Labin, </w:t>
      </w:r>
      <w:r w:rsidR="000026E1">
        <w:rPr>
          <w:rFonts w:ascii="Arial" w:hAnsi="Arial" w:cs="Arial"/>
          <w:sz w:val="24"/>
          <w:szCs w:val="24"/>
        </w:rPr>
        <w:t>25</w:t>
      </w:r>
      <w:r w:rsidRPr="007B2FAC">
        <w:rPr>
          <w:rFonts w:ascii="Arial" w:hAnsi="Arial" w:cs="Arial"/>
          <w:sz w:val="24"/>
          <w:szCs w:val="24"/>
        </w:rPr>
        <w:t xml:space="preserve">. </w:t>
      </w:r>
      <w:r w:rsidR="000026E1">
        <w:rPr>
          <w:rFonts w:ascii="Arial" w:hAnsi="Arial" w:cs="Arial"/>
          <w:sz w:val="24"/>
          <w:szCs w:val="24"/>
        </w:rPr>
        <w:t>srpnja</w:t>
      </w:r>
      <w:r w:rsidR="007B2FAC" w:rsidRPr="007B2FAC">
        <w:rPr>
          <w:rFonts w:ascii="Arial" w:hAnsi="Arial" w:cs="Arial"/>
          <w:sz w:val="24"/>
          <w:szCs w:val="24"/>
        </w:rPr>
        <w:t xml:space="preserve"> </w:t>
      </w:r>
      <w:r w:rsidRPr="007B2FAC">
        <w:rPr>
          <w:rFonts w:ascii="Arial" w:hAnsi="Arial" w:cs="Arial"/>
          <w:sz w:val="24"/>
          <w:szCs w:val="24"/>
        </w:rPr>
        <w:t xml:space="preserve">2025. </w:t>
      </w:r>
    </w:p>
    <w:p w14:paraId="79DF8F23" w14:textId="77777777" w:rsidR="00A618E2" w:rsidRDefault="00A618E2"/>
    <w:p w14:paraId="11C2CE29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PRVE IZMJENE I DOPUNE FINANCIJSKOG PLANA PRORAČUNSKOG KORISNIKA GRADSKE KNJIŽNICE LABIN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ZA 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</w:t>
      </w:r>
      <w:r w:rsidRPr="00F30C2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</w:t>
      </w:r>
    </w:p>
    <w:p w14:paraId="3596E6F5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7EF0F4B" w14:textId="77777777" w:rsidR="00C67AA1" w:rsidRDefault="00C67AA1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7F8F7A0" w14:textId="77777777" w:rsidR="00A618E2" w:rsidRDefault="00A618E2" w:rsidP="00A618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9CA7F1E" w14:textId="7E02BC6D" w:rsidR="00A618E2" w:rsidRDefault="00A618E2" w:rsidP="00A618E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04EACF43" w14:textId="58BCC6B9" w:rsidR="00A618E2" w:rsidRDefault="00A618E2" w:rsidP="00A618E2">
      <w:pPr>
        <w:pStyle w:val="Odlomakpopis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SAŽETAK PRIHODA I RASHODA</w:t>
      </w:r>
      <w:r w:rsidR="00252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 RAČUNA ZADUŽIVANJA/FINANCIRANJA, RASPOLOŽIVA SREDSTVA IZ PRETHODNIH GODINA</w:t>
      </w:r>
    </w:p>
    <w:p w14:paraId="21C8D730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3321" w:type="dxa"/>
        <w:tblLook w:val="04A0" w:firstRow="1" w:lastRow="0" w:firstColumn="1" w:lastColumn="0" w:noHBand="0" w:noVBand="1"/>
      </w:tblPr>
      <w:tblGrid>
        <w:gridCol w:w="416"/>
        <w:gridCol w:w="5675"/>
        <w:gridCol w:w="1984"/>
        <w:gridCol w:w="1843"/>
        <w:gridCol w:w="1418"/>
        <w:gridCol w:w="1985"/>
      </w:tblGrid>
      <w:tr w:rsidR="0025203C" w:rsidRPr="0025203C" w14:paraId="243CD13B" w14:textId="77777777" w:rsidTr="00C876BC">
        <w:trPr>
          <w:trHeight w:val="54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CBE6" w14:textId="77777777" w:rsidR="0025203C" w:rsidRPr="0025203C" w:rsidRDefault="0025203C" w:rsidP="0025203C">
            <w:pPr>
              <w:spacing w:line="256" w:lineRule="auto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F258" w14:textId="77777777" w:rsidR="0025203C" w:rsidRPr="0025203C" w:rsidRDefault="0025203C" w:rsidP="0025203C">
            <w:pPr>
              <w:spacing w:line="256" w:lineRule="auto"/>
              <w:rPr>
                <w:rFonts w:ascii="Times New Roman" w:hAnsi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1839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 ZA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1F18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POVEĆANJE/ SMANJENJE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B422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PROMJENA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6314" w14:textId="77777777" w:rsidR="0025203C" w:rsidRPr="0025203C" w:rsidRDefault="0025203C" w:rsidP="00252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NOVI PLAN ZA 2024.</w:t>
            </w:r>
          </w:p>
        </w:tc>
      </w:tr>
      <w:tr w:rsidR="0025203C" w:rsidRPr="0025203C" w14:paraId="60DD06AB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8B8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156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172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B05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D7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F71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0EDC7833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A55BBB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61037E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SAŽETAK RAČUNA PRIHODA I RASHODA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73D3E2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38668F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67481F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EAA1B0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17849CF3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AFBF21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E83A46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B474F9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245.585,00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9C57960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7CE14B7" w14:textId="69A732B8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5,31</w:t>
            </w:r>
            <w:r w:rsidR="008B43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7FD9D34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258.604,00</w:t>
            </w:r>
          </w:p>
        </w:tc>
      </w:tr>
      <w:tr w:rsidR="0025203C" w:rsidRPr="0025203C" w14:paraId="5C37D3F8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CD9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5C3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8AD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245.285,00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EEB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9415" w14:textId="4E51A166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5,31</w:t>
            </w:r>
            <w:r w:rsidR="008B437D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CCE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258.304,00</w:t>
            </w:r>
          </w:p>
        </w:tc>
      </w:tr>
      <w:tr w:rsidR="0025203C" w:rsidRPr="0025203C" w14:paraId="3D27A762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BC5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467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2C2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962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1260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A46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25203C" w:rsidRPr="0025203C" w14:paraId="10C25651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54D3BA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EF5984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EE0DC1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689D5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F693940" w14:textId="267B7794" w:rsidR="0025203C" w:rsidRPr="0025203C" w:rsidRDefault="008B437D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  <w:r w:rsidR="0025203C"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C5FE8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25203C" w:rsidRPr="0025203C" w14:paraId="777D7BD6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09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86F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75A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1DC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FED0" w14:textId="619D8C7D" w:rsidR="0025203C" w:rsidRPr="0025203C" w:rsidRDefault="008B437D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3,80%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28C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25203C" w:rsidRPr="0025203C" w14:paraId="119456D7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94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E76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5E7D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AA9D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4A2" w14:textId="39C3AAF5" w:rsidR="0025203C" w:rsidRPr="0025203C" w:rsidRDefault="008B437D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16,66%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FE6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25203C" w:rsidRPr="0025203C" w14:paraId="01BDD70D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2A0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4A0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AF3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BB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B8D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6DD1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-3.603,00</w:t>
            </w:r>
          </w:p>
        </w:tc>
      </w:tr>
      <w:tr w:rsidR="0025203C" w:rsidRPr="0025203C" w14:paraId="520CE501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C55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AC1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BBE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8D0C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D01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D35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692408B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3BA26A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7691BC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SAŽETAK RAČUNA ZADUŽIVANJA/FINANCIRANJA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65C401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C14A50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F0BC71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1E2D85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62E5C5D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048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04A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9C0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CF4D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8222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1EE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3741B3E4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35B3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C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3164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981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D6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30D1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57BBC917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163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BE8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47CB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1A6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B3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8053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1637700F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687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49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DB2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50A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5A5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001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352B4B6E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A7C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075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54DA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EF6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5C2B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D355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5203C" w:rsidRPr="0025203C" w14:paraId="043272F1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95F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C12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914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4EE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9AD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B2F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630D1D99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E704B5D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507F10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CB63C8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63D26F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30BB6D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372B81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55CC2246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F38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7BC0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EB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10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2F87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2389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3.603,00</w:t>
            </w:r>
          </w:p>
        </w:tc>
      </w:tr>
      <w:tr w:rsidR="0025203C" w:rsidRPr="0025203C" w14:paraId="7C2C796E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B9AA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6741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00CE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B0A9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045B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0367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5203C" w:rsidRPr="0025203C" w14:paraId="3CEF0A73" w14:textId="77777777" w:rsidTr="00C876BC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6A45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B5E6" w14:textId="77777777" w:rsidR="0025203C" w:rsidRPr="0025203C" w:rsidRDefault="0025203C" w:rsidP="00252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 FINANCIRANJA + RASPOLOŽIVA SREDSTVA IZ PRETHODNIH GODINA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3AC8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D8CE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41FC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30A6" w14:textId="77777777" w:rsidR="0025203C" w:rsidRPr="0025203C" w:rsidRDefault="0025203C" w:rsidP="00252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520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0F4DA2B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5CAD3B4" w14:textId="77777777" w:rsidR="0025203C" w:rsidRDefault="0025203C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E8BAE38" w14:textId="77777777" w:rsidR="00C67AA1" w:rsidRDefault="00C67AA1" w:rsidP="002520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8E53E23" w14:textId="0CA2A1D0" w:rsidR="00A618E2" w:rsidRDefault="00A618E2" w:rsidP="004375B1">
      <w:pPr>
        <w:pStyle w:val="Odlomakpopisa"/>
        <w:numPr>
          <w:ilvl w:val="1"/>
          <w:numId w:val="1"/>
        </w:numPr>
        <w:ind w:left="1276" w:hanging="556"/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t>RAČUN PRIHODA I RASHODA</w:t>
      </w:r>
    </w:p>
    <w:p w14:paraId="4B851163" w14:textId="4810EC4F" w:rsidR="00A618E2" w:rsidRDefault="00A618E2" w:rsidP="004375B1">
      <w:pPr>
        <w:pStyle w:val="Odlomakpopisa"/>
        <w:numPr>
          <w:ilvl w:val="2"/>
          <w:numId w:val="1"/>
        </w:numPr>
        <w:ind w:left="1843" w:hanging="76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EKONOMSKOJ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4"/>
        <w:gridCol w:w="6528"/>
        <w:gridCol w:w="1454"/>
        <w:gridCol w:w="1425"/>
        <w:gridCol w:w="1560"/>
        <w:gridCol w:w="1383"/>
      </w:tblGrid>
      <w:tr w:rsidR="00A618E2" w:rsidRPr="00A618E2" w14:paraId="453ED234" w14:textId="77777777" w:rsidTr="00A618E2">
        <w:trPr>
          <w:trHeight w:val="510"/>
        </w:trPr>
        <w:tc>
          <w:tcPr>
            <w:tcW w:w="1644" w:type="dxa"/>
            <w:shd w:val="clear" w:color="auto" w:fill="C9C9C9" w:themeFill="accent3" w:themeFillTint="99"/>
            <w:hideMark/>
          </w:tcPr>
          <w:p w14:paraId="3BC44ECA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528" w:type="dxa"/>
            <w:shd w:val="clear" w:color="auto" w:fill="C9C9C9" w:themeFill="accent3" w:themeFillTint="99"/>
            <w:noWrap/>
            <w:hideMark/>
          </w:tcPr>
          <w:p w14:paraId="750F6B2E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54" w:type="dxa"/>
            <w:shd w:val="clear" w:color="auto" w:fill="C9C9C9" w:themeFill="accent3" w:themeFillTint="99"/>
            <w:noWrap/>
            <w:hideMark/>
          </w:tcPr>
          <w:p w14:paraId="6B8FAEB5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25" w:type="dxa"/>
            <w:shd w:val="clear" w:color="auto" w:fill="C9C9C9" w:themeFill="accent3" w:themeFillTint="99"/>
            <w:noWrap/>
            <w:hideMark/>
          </w:tcPr>
          <w:p w14:paraId="022E3E48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560" w:type="dxa"/>
            <w:shd w:val="clear" w:color="auto" w:fill="C9C9C9" w:themeFill="accent3" w:themeFillTint="99"/>
            <w:hideMark/>
          </w:tcPr>
          <w:p w14:paraId="4318129E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3" w:type="dxa"/>
            <w:shd w:val="clear" w:color="auto" w:fill="C9C9C9" w:themeFill="accent3" w:themeFillTint="99"/>
            <w:noWrap/>
            <w:hideMark/>
          </w:tcPr>
          <w:p w14:paraId="0D8F15AA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A618E2" w:rsidRPr="00A618E2" w14:paraId="3146B988" w14:textId="77777777" w:rsidTr="00A618E2">
        <w:trPr>
          <w:trHeight w:val="255"/>
        </w:trPr>
        <w:tc>
          <w:tcPr>
            <w:tcW w:w="1644" w:type="dxa"/>
            <w:shd w:val="clear" w:color="auto" w:fill="7F7F7F" w:themeFill="text1" w:themeFillTint="80"/>
            <w:noWrap/>
            <w:hideMark/>
          </w:tcPr>
          <w:p w14:paraId="1612FE9E" w14:textId="2A0C0786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SVEUKUPNO PRIHODI</w:t>
            </w:r>
          </w:p>
        </w:tc>
        <w:tc>
          <w:tcPr>
            <w:tcW w:w="6528" w:type="dxa"/>
            <w:shd w:val="clear" w:color="auto" w:fill="7F7F7F" w:themeFill="text1" w:themeFillTint="80"/>
            <w:noWrap/>
            <w:hideMark/>
          </w:tcPr>
          <w:p w14:paraId="71BEB230" w14:textId="77777777" w:rsidR="00A618E2" w:rsidRPr="00A618E2" w:rsidRDefault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7F7F7F" w:themeFill="text1" w:themeFillTint="80"/>
            <w:noWrap/>
            <w:hideMark/>
          </w:tcPr>
          <w:p w14:paraId="3BC6BD85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245.585,00</w:t>
            </w:r>
          </w:p>
        </w:tc>
        <w:tc>
          <w:tcPr>
            <w:tcW w:w="1425" w:type="dxa"/>
            <w:shd w:val="clear" w:color="auto" w:fill="7F7F7F" w:themeFill="text1" w:themeFillTint="80"/>
            <w:noWrap/>
            <w:hideMark/>
          </w:tcPr>
          <w:p w14:paraId="52616850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13.019,00</w:t>
            </w:r>
          </w:p>
        </w:tc>
        <w:tc>
          <w:tcPr>
            <w:tcW w:w="1560" w:type="dxa"/>
            <w:shd w:val="clear" w:color="auto" w:fill="7F7F7F" w:themeFill="text1" w:themeFillTint="80"/>
            <w:noWrap/>
            <w:hideMark/>
          </w:tcPr>
          <w:p w14:paraId="7DEBAC76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5,30</w:t>
            </w:r>
          </w:p>
        </w:tc>
        <w:tc>
          <w:tcPr>
            <w:tcW w:w="1383" w:type="dxa"/>
            <w:shd w:val="clear" w:color="auto" w:fill="7F7F7F" w:themeFill="text1" w:themeFillTint="80"/>
            <w:noWrap/>
            <w:hideMark/>
          </w:tcPr>
          <w:p w14:paraId="55441E2E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258.604,00</w:t>
            </w:r>
          </w:p>
        </w:tc>
      </w:tr>
      <w:tr w:rsidR="00A618E2" w:rsidRPr="00A618E2" w14:paraId="1EC44177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014862B0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8" w:type="dxa"/>
            <w:noWrap/>
            <w:hideMark/>
          </w:tcPr>
          <w:p w14:paraId="50FEA9F7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54" w:type="dxa"/>
            <w:noWrap/>
            <w:hideMark/>
          </w:tcPr>
          <w:p w14:paraId="54CB5321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245.285,00</w:t>
            </w:r>
          </w:p>
        </w:tc>
        <w:tc>
          <w:tcPr>
            <w:tcW w:w="1425" w:type="dxa"/>
            <w:noWrap/>
            <w:hideMark/>
          </w:tcPr>
          <w:p w14:paraId="1740FB99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13.019,00</w:t>
            </w:r>
          </w:p>
        </w:tc>
        <w:tc>
          <w:tcPr>
            <w:tcW w:w="1560" w:type="dxa"/>
            <w:noWrap/>
            <w:hideMark/>
          </w:tcPr>
          <w:p w14:paraId="3300D18F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5,31</w:t>
            </w:r>
          </w:p>
        </w:tc>
        <w:tc>
          <w:tcPr>
            <w:tcW w:w="1383" w:type="dxa"/>
            <w:noWrap/>
            <w:hideMark/>
          </w:tcPr>
          <w:p w14:paraId="41741E89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258.304,00</w:t>
            </w:r>
          </w:p>
        </w:tc>
      </w:tr>
      <w:tr w:rsidR="00A618E2" w:rsidRPr="00A618E2" w14:paraId="311DCD82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6A1047F2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528" w:type="dxa"/>
            <w:noWrap/>
            <w:hideMark/>
          </w:tcPr>
          <w:p w14:paraId="0DA50754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54" w:type="dxa"/>
            <w:noWrap/>
            <w:hideMark/>
          </w:tcPr>
          <w:p w14:paraId="0F16D106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29.900,00</w:t>
            </w:r>
          </w:p>
        </w:tc>
        <w:tc>
          <w:tcPr>
            <w:tcW w:w="1425" w:type="dxa"/>
            <w:noWrap/>
            <w:hideMark/>
          </w:tcPr>
          <w:p w14:paraId="795D8CC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-700,00</w:t>
            </w:r>
          </w:p>
        </w:tc>
        <w:tc>
          <w:tcPr>
            <w:tcW w:w="1560" w:type="dxa"/>
            <w:noWrap/>
            <w:hideMark/>
          </w:tcPr>
          <w:p w14:paraId="14EF621A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-2,34</w:t>
            </w:r>
          </w:p>
        </w:tc>
        <w:tc>
          <w:tcPr>
            <w:tcW w:w="1383" w:type="dxa"/>
            <w:noWrap/>
            <w:hideMark/>
          </w:tcPr>
          <w:p w14:paraId="3E9339D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29.200,00</w:t>
            </w:r>
          </w:p>
        </w:tc>
      </w:tr>
      <w:tr w:rsidR="00A618E2" w:rsidRPr="00A618E2" w14:paraId="0506601F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5F61D21C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528" w:type="dxa"/>
            <w:noWrap/>
            <w:hideMark/>
          </w:tcPr>
          <w:p w14:paraId="46C66CDD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54" w:type="dxa"/>
            <w:noWrap/>
            <w:hideMark/>
          </w:tcPr>
          <w:p w14:paraId="454B3B5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25" w:type="dxa"/>
            <w:noWrap/>
            <w:hideMark/>
          </w:tcPr>
          <w:p w14:paraId="722F74E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560" w:type="dxa"/>
            <w:noWrap/>
            <w:hideMark/>
          </w:tcPr>
          <w:p w14:paraId="21A3CF8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7,69</w:t>
            </w:r>
          </w:p>
        </w:tc>
        <w:tc>
          <w:tcPr>
            <w:tcW w:w="1383" w:type="dxa"/>
            <w:noWrap/>
            <w:hideMark/>
          </w:tcPr>
          <w:p w14:paraId="245C53C5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A618E2" w:rsidRPr="00A618E2" w14:paraId="4EA9203B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60A23789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528" w:type="dxa"/>
            <w:noWrap/>
            <w:hideMark/>
          </w:tcPr>
          <w:p w14:paraId="4A397E67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54" w:type="dxa"/>
            <w:noWrap/>
            <w:hideMark/>
          </w:tcPr>
          <w:p w14:paraId="1AB30405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3.730,00</w:t>
            </w:r>
          </w:p>
        </w:tc>
        <w:tc>
          <w:tcPr>
            <w:tcW w:w="1425" w:type="dxa"/>
            <w:noWrap/>
            <w:hideMark/>
          </w:tcPr>
          <w:p w14:paraId="60ADFC0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60" w:type="dxa"/>
            <w:noWrap/>
            <w:hideMark/>
          </w:tcPr>
          <w:p w14:paraId="0DAB3619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80,43</w:t>
            </w:r>
          </w:p>
        </w:tc>
        <w:tc>
          <w:tcPr>
            <w:tcW w:w="1383" w:type="dxa"/>
            <w:noWrap/>
            <w:hideMark/>
          </w:tcPr>
          <w:p w14:paraId="7C471979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6.730,00</w:t>
            </w:r>
          </w:p>
        </w:tc>
      </w:tr>
      <w:tr w:rsidR="00A618E2" w:rsidRPr="00A618E2" w14:paraId="4A3C3C3C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49465937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528" w:type="dxa"/>
            <w:noWrap/>
            <w:hideMark/>
          </w:tcPr>
          <w:p w14:paraId="2AD96E65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454" w:type="dxa"/>
            <w:noWrap/>
            <w:hideMark/>
          </w:tcPr>
          <w:p w14:paraId="726CE33E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198.655,00</w:t>
            </w:r>
          </w:p>
        </w:tc>
        <w:tc>
          <w:tcPr>
            <w:tcW w:w="1425" w:type="dxa"/>
            <w:noWrap/>
            <w:hideMark/>
          </w:tcPr>
          <w:p w14:paraId="5656B776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9.719,00</w:t>
            </w:r>
          </w:p>
        </w:tc>
        <w:tc>
          <w:tcPr>
            <w:tcW w:w="1560" w:type="dxa"/>
            <w:noWrap/>
            <w:hideMark/>
          </w:tcPr>
          <w:p w14:paraId="57C9001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4,89</w:t>
            </w:r>
          </w:p>
        </w:tc>
        <w:tc>
          <w:tcPr>
            <w:tcW w:w="1383" w:type="dxa"/>
            <w:noWrap/>
            <w:hideMark/>
          </w:tcPr>
          <w:p w14:paraId="55160EA2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208.374,00</w:t>
            </w:r>
          </w:p>
        </w:tc>
      </w:tr>
      <w:tr w:rsidR="00A618E2" w:rsidRPr="00A618E2" w14:paraId="69C9453C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03DFAC68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6528" w:type="dxa"/>
            <w:noWrap/>
            <w:hideMark/>
          </w:tcPr>
          <w:p w14:paraId="36E5C6C2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54" w:type="dxa"/>
            <w:noWrap/>
            <w:hideMark/>
          </w:tcPr>
          <w:p w14:paraId="2806C410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25" w:type="dxa"/>
            <w:noWrap/>
            <w:hideMark/>
          </w:tcPr>
          <w:p w14:paraId="269C6D82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5A21E9F1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14:paraId="6218BAF5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A618E2" w:rsidRPr="00A618E2" w14:paraId="324BBCD5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6971EEC7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528" w:type="dxa"/>
            <w:noWrap/>
            <w:hideMark/>
          </w:tcPr>
          <w:p w14:paraId="52E23C48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54" w:type="dxa"/>
            <w:noWrap/>
            <w:hideMark/>
          </w:tcPr>
          <w:p w14:paraId="4C2F76E3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25" w:type="dxa"/>
            <w:noWrap/>
            <w:hideMark/>
          </w:tcPr>
          <w:p w14:paraId="53F0CF69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5851CD07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14:paraId="5533763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618E2" w:rsidRPr="00A618E2" w14:paraId="6999F922" w14:textId="77777777" w:rsidTr="00A618E2">
        <w:trPr>
          <w:trHeight w:val="255"/>
        </w:trPr>
        <w:tc>
          <w:tcPr>
            <w:tcW w:w="1644" w:type="dxa"/>
            <w:shd w:val="clear" w:color="auto" w:fill="7F7F7F" w:themeFill="text1" w:themeFillTint="80"/>
            <w:noWrap/>
            <w:hideMark/>
          </w:tcPr>
          <w:p w14:paraId="1E97F379" w14:textId="2A897613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SVEUKUPNO RASHODI / IZDACI</w:t>
            </w:r>
          </w:p>
        </w:tc>
        <w:tc>
          <w:tcPr>
            <w:tcW w:w="6528" w:type="dxa"/>
            <w:shd w:val="clear" w:color="auto" w:fill="7F7F7F" w:themeFill="text1" w:themeFillTint="80"/>
            <w:noWrap/>
            <w:hideMark/>
          </w:tcPr>
          <w:p w14:paraId="4664365C" w14:textId="77777777" w:rsidR="00A618E2" w:rsidRPr="00A618E2" w:rsidRDefault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7F7F7F" w:themeFill="text1" w:themeFillTint="80"/>
            <w:noWrap/>
            <w:hideMark/>
          </w:tcPr>
          <w:p w14:paraId="0D863341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248.235,00</w:t>
            </w:r>
          </w:p>
        </w:tc>
        <w:tc>
          <w:tcPr>
            <w:tcW w:w="1425" w:type="dxa"/>
            <w:shd w:val="clear" w:color="auto" w:fill="7F7F7F" w:themeFill="text1" w:themeFillTint="80"/>
            <w:noWrap/>
            <w:hideMark/>
          </w:tcPr>
          <w:p w14:paraId="7068F131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13.972,00</w:t>
            </w:r>
          </w:p>
        </w:tc>
        <w:tc>
          <w:tcPr>
            <w:tcW w:w="1560" w:type="dxa"/>
            <w:shd w:val="clear" w:color="auto" w:fill="7F7F7F" w:themeFill="text1" w:themeFillTint="80"/>
            <w:noWrap/>
            <w:hideMark/>
          </w:tcPr>
          <w:p w14:paraId="04F9E7EE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5,63</w:t>
            </w:r>
          </w:p>
        </w:tc>
        <w:tc>
          <w:tcPr>
            <w:tcW w:w="1383" w:type="dxa"/>
            <w:shd w:val="clear" w:color="auto" w:fill="7F7F7F" w:themeFill="text1" w:themeFillTint="80"/>
            <w:noWrap/>
            <w:hideMark/>
          </w:tcPr>
          <w:p w14:paraId="02434425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262.207,00</w:t>
            </w:r>
          </w:p>
        </w:tc>
      </w:tr>
      <w:tr w:rsidR="00A618E2" w:rsidRPr="00A618E2" w14:paraId="3B9DF6E0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52F7884F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8" w:type="dxa"/>
            <w:noWrap/>
            <w:hideMark/>
          </w:tcPr>
          <w:p w14:paraId="7D35324F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54" w:type="dxa"/>
            <w:noWrap/>
            <w:hideMark/>
          </w:tcPr>
          <w:p w14:paraId="7CD80B50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213.005,00</w:t>
            </w:r>
          </w:p>
        </w:tc>
        <w:tc>
          <w:tcPr>
            <w:tcW w:w="1425" w:type="dxa"/>
            <w:noWrap/>
            <w:hideMark/>
          </w:tcPr>
          <w:p w14:paraId="0736FDC4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8.101,00</w:t>
            </w:r>
          </w:p>
        </w:tc>
        <w:tc>
          <w:tcPr>
            <w:tcW w:w="1560" w:type="dxa"/>
            <w:noWrap/>
            <w:hideMark/>
          </w:tcPr>
          <w:p w14:paraId="63B20BDD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3,80</w:t>
            </w:r>
          </w:p>
        </w:tc>
        <w:tc>
          <w:tcPr>
            <w:tcW w:w="1383" w:type="dxa"/>
            <w:noWrap/>
            <w:hideMark/>
          </w:tcPr>
          <w:p w14:paraId="407DF7F3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221.106,00</w:t>
            </w:r>
          </w:p>
        </w:tc>
      </w:tr>
      <w:tr w:rsidR="00A618E2" w:rsidRPr="00A618E2" w14:paraId="1BE40F67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3614C1CC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28" w:type="dxa"/>
            <w:noWrap/>
            <w:hideMark/>
          </w:tcPr>
          <w:p w14:paraId="555B8174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54" w:type="dxa"/>
            <w:noWrap/>
            <w:hideMark/>
          </w:tcPr>
          <w:p w14:paraId="328230E2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140.075,00</w:t>
            </w:r>
          </w:p>
        </w:tc>
        <w:tc>
          <w:tcPr>
            <w:tcW w:w="1425" w:type="dxa"/>
            <w:noWrap/>
            <w:hideMark/>
          </w:tcPr>
          <w:p w14:paraId="479A1D9A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60" w:type="dxa"/>
            <w:noWrap/>
            <w:hideMark/>
          </w:tcPr>
          <w:p w14:paraId="7E6E6C1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383" w:type="dxa"/>
            <w:noWrap/>
            <w:hideMark/>
          </w:tcPr>
          <w:p w14:paraId="6D34C12F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140.775,00</w:t>
            </w:r>
          </w:p>
        </w:tc>
      </w:tr>
      <w:tr w:rsidR="00A618E2" w:rsidRPr="00A618E2" w14:paraId="3158C1C9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172FA87B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28" w:type="dxa"/>
            <w:noWrap/>
            <w:hideMark/>
          </w:tcPr>
          <w:p w14:paraId="1A5F23CB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54" w:type="dxa"/>
            <w:noWrap/>
            <w:hideMark/>
          </w:tcPr>
          <w:p w14:paraId="4EECE38F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72.860,00</w:t>
            </w:r>
          </w:p>
        </w:tc>
        <w:tc>
          <w:tcPr>
            <w:tcW w:w="1425" w:type="dxa"/>
            <w:noWrap/>
            <w:hideMark/>
          </w:tcPr>
          <w:p w14:paraId="70E2C35B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7.401,00</w:t>
            </w:r>
          </w:p>
        </w:tc>
        <w:tc>
          <w:tcPr>
            <w:tcW w:w="1560" w:type="dxa"/>
            <w:noWrap/>
            <w:hideMark/>
          </w:tcPr>
          <w:p w14:paraId="466D752A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10,16</w:t>
            </w:r>
          </w:p>
        </w:tc>
        <w:tc>
          <w:tcPr>
            <w:tcW w:w="1383" w:type="dxa"/>
            <w:noWrap/>
            <w:hideMark/>
          </w:tcPr>
          <w:p w14:paraId="7034B6E1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80.261,00</w:t>
            </w:r>
          </w:p>
        </w:tc>
      </w:tr>
      <w:tr w:rsidR="00A618E2" w:rsidRPr="00A618E2" w14:paraId="786FE52B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350F132A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28" w:type="dxa"/>
            <w:noWrap/>
            <w:hideMark/>
          </w:tcPr>
          <w:p w14:paraId="1E5EEF40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54" w:type="dxa"/>
            <w:noWrap/>
            <w:hideMark/>
          </w:tcPr>
          <w:p w14:paraId="3B0D3E8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25" w:type="dxa"/>
            <w:noWrap/>
            <w:hideMark/>
          </w:tcPr>
          <w:p w14:paraId="0625419A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5E526206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14:paraId="1987590C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A618E2" w:rsidRPr="00A618E2" w14:paraId="60C4C590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77B78B38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8" w:type="dxa"/>
            <w:noWrap/>
            <w:hideMark/>
          </w:tcPr>
          <w:p w14:paraId="5764D310" w14:textId="77777777" w:rsidR="00A618E2" w:rsidRPr="00A618E2" w:rsidRDefault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54" w:type="dxa"/>
            <w:noWrap/>
            <w:hideMark/>
          </w:tcPr>
          <w:p w14:paraId="5201E00F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35.230,00</w:t>
            </w:r>
          </w:p>
        </w:tc>
        <w:tc>
          <w:tcPr>
            <w:tcW w:w="1425" w:type="dxa"/>
            <w:noWrap/>
            <w:hideMark/>
          </w:tcPr>
          <w:p w14:paraId="2CFD71B9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5.871,00</w:t>
            </w:r>
          </w:p>
        </w:tc>
        <w:tc>
          <w:tcPr>
            <w:tcW w:w="1560" w:type="dxa"/>
            <w:noWrap/>
            <w:hideMark/>
          </w:tcPr>
          <w:p w14:paraId="12008A9F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16,66</w:t>
            </w:r>
          </w:p>
        </w:tc>
        <w:tc>
          <w:tcPr>
            <w:tcW w:w="1383" w:type="dxa"/>
            <w:noWrap/>
            <w:hideMark/>
          </w:tcPr>
          <w:p w14:paraId="39D2A305" w14:textId="77777777" w:rsidR="00A618E2" w:rsidRPr="00A618E2" w:rsidRDefault="00A618E2" w:rsidP="00A618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18E2">
              <w:rPr>
                <w:rFonts w:ascii="Arial" w:hAnsi="Arial" w:cs="Arial"/>
                <w:b/>
                <w:bCs/>
                <w:sz w:val="20"/>
                <w:szCs w:val="20"/>
              </w:rPr>
              <w:t>41.101,00</w:t>
            </w:r>
          </w:p>
        </w:tc>
      </w:tr>
      <w:tr w:rsidR="00A618E2" w:rsidRPr="00A618E2" w14:paraId="640A01EF" w14:textId="77777777" w:rsidTr="00A618E2">
        <w:trPr>
          <w:trHeight w:val="255"/>
        </w:trPr>
        <w:tc>
          <w:tcPr>
            <w:tcW w:w="1644" w:type="dxa"/>
            <w:noWrap/>
            <w:hideMark/>
          </w:tcPr>
          <w:p w14:paraId="77DC21D7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528" w:type="dxa"/>
            <w:noWrap/>
            <w:hideMark/>
          </w:tcPr>
          <w:p w14:paraId="530B30F6" w14:textId="77777777" w:rsidR="00A618E2" w:rsidRPr="00A618E2" w:rsidRDefault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54" w:type="dxa"/>
            <w:noWrap/>
            <w:hideMark/>
          </w:tcPr>
          <w:p w14:paraId="6F6230F2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35.230,00</w:t>
            </w:r>
          </w:p>
        </w:tc>
        <w:tc>
          <w:tcPr>
            <w:tcW w:w="1425" w:type="dxa"/>
            <w:noWrap/>
            <w:hideMark/>
          </w:tcPr>
          <w:p w14:paraId="24FC9D1E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5.871,00</w:t>
            </w:r>
          </w:p>
        </w:tc>
        <w:tc>
          <w:tcPr>
            <w:tcW w:w="1560" w:type="dxa"/>
            <w:noWrap/>
            <w:hideMark/>
          </w:tcPr>
          <w:p w14:paraId="0A243C47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16,66</w:t>
            </w:r>
          </w:p>
        </w:tc>
        <w:tc>
          <w:tcPr>
            <w:tcW w:w="1383" w:type="dxa"/>
            <w:noWrap/>
            <w:hideMark/>
          </w:tcPr>
          <w:p w14:paraId="2B2921FF" w14:textId="77777777" w:rsidR="00A618E2" w:rsidRPr="00A618E2" w:rsidRDefault="00A618E2" w:rsidP="00A618E2">
            <w:pPr>
              <w:rPr>
                <w:rFonts w:ascii="Arial" w:hAnsi="Arial" w:cs="Arial"/>
                <w:sz w:val="20"/>
                <w:szCs w:val="20"/>
              </w:rPr>
            </w:pPr>
            <w:r w:rsidRPr="00A618E2">
              <w:rPr>
                <w:rFonts w:ascii="Arial" w:hAnsi="Arial" w:cs="Arial"/>
                <w:sz w:val="20"/>
                <w:szCs w:val="20"/>
              </w:rPr>
              <w:t>41.101,00</w:t>
            </w:r>
          </w:p>
        </w:tc>
      </w:tr>
    </w:tbl>
    <w:p w14:paraId="360721E9" w14:textId="77777777" w:rsidR="00C67AA1" w:rsidRPr="00C67AA1" w:rsidRDefault="00C67AA1" w:rsidP="00C67AA1">
      <w:pPr>
        <w:rPr>
          <w:rFonts w:ascii="Arial" w:hAnsi="Arial" w:cs="Arial"/>
          <w:b/>
          <w:bCs/>
          <w:sz w:val="24"/>
          <w:szCs w:val="24"/>
        </w:rPr>
      </w:pPr>
    </w:p>
    <w:p w14:paraId="5FD7C19A" w14:textId="77777777" w:rsidR="00C67AA1" w:rsidRDefault="00C67AA1" w:rsidP="00C67AA1">
      <w:pPr>
        <w:pStyle w:val="Odlomakpopisa"/>
        <w:ind w:left="1800"/>
        <w:rPr>
          <w:rFonts w:ascii="Arial" w:hAnsi="Arial" w:cs="Arial"/>
          <w:b/>
          <w:bCs/>
          <w:sz w:val="24"/>
          <w:szCs w:val="24"/>
        </w:rPr>
      </w:pPr>
    </w:p>
    <w:p w14:paraId="5038FB0D" w14:textId="4111B84A" w:rsidR="00A618E2" w:rsidRDefault="00A618E2" w:rsidP="00A618E2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618E2">
        <w:rPr>
          <w:rFonts w:ascii="Arial" w:hAnsi="Arial" w:cs="Arial"/>
          <w:b/>
          <w:bCs/>
          <w:sz w:val="24"/>
          <w:szCs w:val="24"/>
        </w:rPr>
        <w:t>PREMA IZVORIMA FINANCIRANJA</w:t>
      </w:r>
    </w:p>
    <w:tbl>
      <w:tblPr>
        <w:tblW w:w="13778" w:type="dxa"/>
        <w:tblLook w:val="04A0" w:firstRow="1" w:lastRow="0" w:firstColumn="1" w:lastColumn="0" w:noHBand="0" w:noVBand="1"/>
      </w:tblPr>
      <w:tblGrid>
        <w:gridCol w:w="4748"/>
        <w:gridCol w:w="3176"/>
        <w:gridCol w:w="1404"/>
        <w:gridCol w:w="1998"/>
        <w:gridCol w:w="1349"/>
        <w:gridCol w:w="1319"/>
      </w:tblGrid>
      <w:tr w:rsidR="00DC6F75" w:rsidRPr="00DC6F75" w14:paraId="163F2B9A" w14:textId="77777777" w:rsidTr="00DC6F75">
        <w:trPr>
          <w:trHeight w:val="510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E1ACE7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70A97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211C9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52536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C555C2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BCE23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DC6F75" w:rsidRPr="00DC6F75" w14:paraId="53FCBB1B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07881B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A145FD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AAD43D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245.585,00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411A59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13.019,00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40A7B2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12282B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258.604,00</w:t>
            </w:r>
          </w:p>
        </w:tc>
      </w:tr>
      <w:tr w:rsidR="00DC6F75" w:rsidRPr="00DC6F75" w14:paraId="43B6A0EE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2EFE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B06E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4A16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D11CA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9.719,00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5058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2551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208.374,00</w:t>
            </w:r>
          </w:p>
        </w:tc>
      </w:tr>
      <w:tr w:rsidR="00DC6F75" w:rsidRPr="00DC6F75" w14:paraId="2748D076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89AE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C9FD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3BB20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86FC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9.719,00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4437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BF0F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208.374,00</w:t>
            </w:r>
          </w:p>
        </w:tc>
      </w:tr>
      <w:tr w:rsidR="00DC6F75" w:rsidRPr="00DC6F75" w14:paraId="1C4D4560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1FB5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3DC1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06ED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094FA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184D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14D3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DC6F75" w:rsidRPr="00DC6F75" w14:paraId="1D0D366D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B457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3.9. VLASTITI PRIHODI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5056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C2C9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741D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6D78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6A2B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DC6F75" w:rsidRPr="00DC6F75" w14:paraId="0936E6C3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DB57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73CB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C22CC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D7DE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3E10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DC3A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DC6F75" w:rsidRPr="00DC6F75" w14:paraId="6DD1DF31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F703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PRIHODI ZA POSEBNE NAMJENE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C0388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468C3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E9BC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C2F1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7457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DC6F75" w:rsidRPr="00DC6F75" w14:paraId="14377077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C54A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F7B22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B54B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CFD2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9368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EE0E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</w:tr>
      <w:tr w:rsidR="00DC6F75" w:rsidRPr="00DC6F75" w14:paraId="70CF5F9A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23795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B2B5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B7FA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C0C1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8CEE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774F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29.200,00</w:t>
            </w:r>
          </w:p>
        </w:tc>
      </w:tr>
      <w:tr w:rsidR="00DC6F75" w:rsidRPr="00DC6F75" w14:paraId="69A659C8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938D6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 DONACIJE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4AF5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861C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C8EE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1F0F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5A8B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3C8F3DCD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F3DA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6.9. DONACIJE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DDE8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EC23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FDF51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0C29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69E2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291B32EF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2BB4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 PRIHODI OD NEFINANCIJSKE IMOVINE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8BDB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33AEA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1642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C6B0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21E2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DC6F75" w:rsidRPr="00DC6F75" w14:paraId="561227F5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DB34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7.9. PRIHODI OD NEFINANCIJSKE IMOVINE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2491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B8D1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1787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A81CE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A1E1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DC6F75" w:rsidRPr="00DC6F75" w14:paraId="79F4B72C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193D1A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EDE998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CB3DFA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B97D1D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A59627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224699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DC6F75" w:rsidRPr="00DC6F75" w14:paraId="53CC8F75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41F0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715C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A482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F057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1856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7267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199.355,00</w:t>
            </w:r>
          </w:p>
        </w:tc>
      </w:tr>
      <w:tr w:rsidR="00DC6F75" w:rsidRPr="00DC6F75" w14:paraId="171D148A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853B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FA57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C6D5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CC1F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8C15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F214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199.355,00</w:t>
            </w:r>
          </w:p>
        </w:tc>
      </w:tr>
      <w:tr w:rsidR="00DC6F75" w:rsidRPr="00DC6F75" w14:paraId="12820AE6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9A0E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E0B7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BB13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B9B0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5.734,00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7068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3334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8.734,00</w:t>
            </w:r>
          </w:p>
        </w:tc>
      </w:tr>
      <w:tr w:rsidR="00DC6F75" w:rsidRPr="00DC6F75" w14:paraId="50537C32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8DB9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3.9. VLASTITI PRIHODI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3C247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0AEF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4442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5.734,00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7FFA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8C32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8.734,00</w:t>
            </w:r>
          </w:p>
        </w:tc>
      </w:tr>
      <w:tr w:rsidR="00DC6F75" w:rsidRPr="00DC6F75" w14:paraId="679986B8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0598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6DE2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4E5F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71B3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C92D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AAF0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22.911,00</w:t>
            </w:r>
          </w:p>
        </w:tc>
      </w:tr>
      <w:tr w:rsidR="00DC6F75" w:rsidRPr="00DC6F75" w14:paraId="44F75CE9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21F55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PRIHODI ZA POSEBNE NAMJENE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8B53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D588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8E59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CA97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D613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22.911,00</w:t>
            </w:r>
          </w:p>
        </w:tc>
      </w:tr>
      <w:tr w:rsidR="00DC6F75" w:rsidRPr="00DC6F75" w14:paraId="536E3137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43FF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7E76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595D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1315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EBC3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722C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29.839,00</w:t>
            </w:r>
          </w:p>
        </w:tc>
      </w:tr>
      <w:tr w:rsidR="00DC6F75" w:rsidRPr="00DC6F75" w14:paraId="32A34D13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2EDA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444EB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C0ED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22BBB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7C1A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C242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29.839,00</w:t>
            </w:r>
          </w:p>
        </w:tc>
      </w:tr>
      <w:tr w:rsidR="00DC6F75" w:rsidRPr="00DC6F75" w14:paraId="21A5CFAF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09D2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 DONACIJE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8E2E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6026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5EEC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05E9D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9852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2E172A07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D2DF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6.9. DONACIJE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A0C5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83FB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2499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D2F1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4896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24CC330D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4159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 PRIHODI OD NEFINANCIJSKE IMOVINE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C89B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CC94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1F29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58B1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5B63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638,00</w:t>
            </w:r>
          </w:p>
        </w:tc>
      </w:tr>
      <w:tr w:rsidR="00DC6F75" w:rsidRPr="00DC6F75" w14:paraId="1508677B" w14:textId="77777777" w:rsidTr="00DC6F75">
        <w:trPr>
          <w:trHeight w:val="255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F2FB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7.9. PRIHODI OD NEFINANCIJSKE IMOVINE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78AC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4C13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49C7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454E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9240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638,00</w:t>
            </w:r>
          </w:p>
        </w:tc>
      </w:tr>
    </w:tbl>
    <w:p w14:paraId="400EAE5C" w14:textId="77777777" w:rsidR="00C67AA1" w:rsidRDefault="00C67AA1" w:rsidP="00A618E2">
      <w:pPr>
        <w:rPr>
          <w:rFonts w:ascii="Arial" w:hAnsi="Arial" w:cs="Arial"/>
          <w:b/>
          <w:bCs/>
          <w:sz w:val="24"/>
          <w:szCs w:val="24"/>
        </w:rPr>
      </w:pPr>
    </w:p>
    <w:p w14:paraId="3BE67F7D" w14:textId="2C5DAE1B" w:rsidR="00DC6F75" w:rsidRDefault="00DC6F75" w:rsidP="00DC6F75">
      <w:pPr>
        <w:pStyle w:val="Odlomakpopisa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FUNKCIJSKOJ KLASIFIKACIJI</w:t>
      </w:r>
    </w:p>
    <w:p w14:paraId="3F56AE80" w14:textId="77777777" w:rsidR="00DC6F75" w:rsidRDefault="00DC6F75" w:rsidP="00DC6F7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1297" w:type="dxa"/>
        <w:tblLook w:val="04A0" w:firstRow="1" w:lastRow="0" w:firstColumn="1" w:lastColumn="0" w:noHBand="0" w:noVBand="1"/>
      </w:tblPr>
      <w:tblGrid>
        <w:gridCol w:w="5222"/>
        <w:gridCol w:w="1405"/>
        <w:gridCol w:w="2000"/>
        <w:gridCol w:w="1350"/>
        <w:gridCol w:w="1320"/>
      </w:tblGrid>
      <w:tr w:rsidR="00DC6F75" w:rsidRPr="00DC6F75" w14:paraId="280233FE" w14:textId="77777777" w:rsidTr="00DC6F75">
        <w:trPr>
          <w:trHeight w:val="51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9FB99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E1D06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4B97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D4CC17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A77A0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DC6F75" w:rsidRPr="00DC6F75" w14:paraId="03AF2699" w14:textId="77777777" w:rsidTr="00DC6F75">
        <w:trPr>
          <w:trHeight w:val="25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79166F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609EE7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60EADA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C29297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22800A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DC6F75" w:rsidRPr="00DC6F75" w14:paraId="754DD64E" w14:textId="77777777" w:rsidTr="00DC6F75">
        <w:trPr>
          <w:trHeight w:val="25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87A25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80A9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C3CA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F595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83187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DC6F75" w:rsidRPr="00DC6F75" w14:paraId="2CACAE43" w14:textId="77777777" w:rsidTr="00DC6F75">
        <w:trPr>
          <w:trHeight w:val="25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3691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9C6F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2294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649D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B3D5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</w:tbl>
    <w:p w14:paraId="2568C759" w14:textId="77777777" w:rsidR="00C67AA1" w:rsidRDefault="00C67AA1" w:rsidP="00DC6F75">
      <w:pPr>
        <w:rPr>
          <w:rFonts w:ascii="Arial" w:hAnsi="Arial" w:cs="Arial"/>
          <w:b/>
          <w:bCs/>
          <w:sz w:val="24"/>
          <w:szCs w:val="24"/>
        </w:rPr>
      </w:pPr>
    </w:p>
    <w:p w14:paraId="0C19BD45" w14:textId="77777777" w:rsidR="004375B1" w:rsidRPr="00DC6F75" w:rsidRDefault="004375B1" w:rsidP="00DC6F75">
      <w:pPr>
        <w:rPr>
          <w:rFonts w:ascii="Arial" w:hAnsi="Arial" w:cs="Arial"/>
          <w:b/>
          <w:bCs/>
          <w:sz w:val="24"/>
          <w:szCs w:val="24"/>
        </w:rPr>
      </w:pPr>
    </w:p>
    <w:p w14:paraId="460B62D0" w14:textId="099E585C" w:rsidR="00DC6F75" w:rsidRDefault="00DC6F75" w:rsidP="00DC6F7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POSEBNI DIO</w:t>
      </w:r>
    </w:p>
    <w:p w14:paraId="00393972" w14:textId="29D9B52D" w:rsidR="00DC6F75" w:rsidRDefault="00DC6F75" w:rsidP="00DC6F75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PREMA PROGRAMSKOJ KLASIFIKACIJI</w:t>
      </w:r>
    </w:p>
    <w:p w14:paraId="031679F0" w14:textId="7B723167" w:rsidR="00DC6F75" w:rsidRDefault="00DC6F75" w:rsidP="00DC6F75">
      <w:r>
        <w:fldChar w:fldCharType="begin"/>
      </w:r>
      <w:r>
        <w:instrText xml:space="preserve"> LINK </w:instrText>
      </w:r>
      <w:r w:rsidR="000E5D8F">
        <w:instrText xml:space="preserve">Excel.Sheet.8 "C:\\Users\\larak\\Documents\\2025\\Rebalans 2025\\Ispis rebalansa - Posebni dio.xls" "Rebalans !R9C1:R54C6" </w:instrText>
      </w:r>
      <w:r>
        <w:instrText xml:space="preserve">\a \f 4 \h  \* MERGEFORMAT </w:instrText>
      </w:r>
      <w:r>
        <w:fldChar w:fldCharType="separate"/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3681"/>
        <w:gridCol w:w="3537"/>
        <w:gridCol w:w="1610"/>
        <w:gridCol w:w="1684"/>
        <w:gridCol w:w="1957"/>
        <w:gridCol w:w="1525"/>
      </w:tblGrid>
      <w:tr w:rsidR="00DC6F75" w:rsidRPr="00DC6F75" w14:paraId="3CE27803" w14:textId="77777777" w:rsidTr="00DC6F75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1EDF" w14:textId="7D99747A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4A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27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E4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918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7C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DC6F75" w:rsidRPr="00DC6F75" w14:paraId="19CE9736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CF9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4F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EE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248.235,00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A7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13.972,00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2D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12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262.207,00</w:t>
            </w:r>
          </w:p>
        </w:tc>
      </w:tr>
      <w:tr w:rsidR="00DC6F75" w:rsidRPr="00DC6F75" w14:paraId="3C25B4F0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B7A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A2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82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99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4C8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EB3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DC6F75" w:rsidRPr="00DC6F75" w14:paraId="7570B3E2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9B1CC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500 UPRAVNI ODJEL ZA DRUŠTVENE DJELATNOSTI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AAC91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F255C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D23B0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2FD6D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5282C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DC6F75" w:rsidRPr="00DC6F75" w14:paraId="33E84268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B1D4E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50004 USTANOVE U KULTURI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412F5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C1972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4CFE99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741117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4799E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DC6F75" w:rsidRPr="00DC6F75" w14:paraId="23172B28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04863A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42266 GRADSKA KNJIŽNICA LABIN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422D4C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49C69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455333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39B08C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DAC391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DC6F75" w:rsidRPr="00DC6F75" w14:paraId="2181B930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DF646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5004 Promicanje kulture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1C09E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B4C32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213.005,00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E852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3723E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691CC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221.106,00</w:t>
            </w:r>
          </w:p>
        </w:tc>
      </w:tr>
      <w:tr w:rsidR="00DC6F75" w:rsidRPr="00DC6F75" w14:paraId="0C28ED44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A379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A500013 Financiranje redovne djelatnosti knjižnice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3447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6744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202.605,00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89D7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4.361,00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DC2D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9499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206.966,00</w:t>
            </w:r>
          </w:p>
        </w:tc>
      </w:tr>
      <w:tr w:rsidR="00DC6F75" w:rsidRPr="00DC6F75" w14:paraId="40BD8A54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3012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FF88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E383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190.655,00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EB86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D4D98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ACE6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191.355,00</w:t>
            </w:r>
          </w:p>
        </w:tc>
      </w:tr>
      <w:tr w:rsidR="00DC6F75" w:rsidRPr="00DC6F75" w14:paraId="3AE5AF23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FD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E77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9A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140.075,00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3F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64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C4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140.775,00</w:t>
            </w:r>
          </w:p>
        </w:tc>
      </w:tr>
      <w:tr w:rsidR="00DC6F75" w:rsidRPr="00DC6F75" w14:paraId="591631E7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B18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DE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C9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50.580,00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59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42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704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50.580,00</w:t>
            </w:r>
          </w:p>
        </w:tc>
      </w:tr>
      <w:tr w:rsidR="00DC6F75" w:rsidRPr="00DC6F75" w14:paraId="7DA0BA83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54A2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3.9. VLASTITI PRIHODI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A8ED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68B5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BB20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AF18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04FC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DC6F75" w:rsidRPr="00DC6F75" w14:paraId="1267B40C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92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96D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9A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3A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E3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B69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DC6F75" w:rsidRPr="00DC6F75" w14:paraId="34E82EF1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2E72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PRIHODI ZA POSEBNE NAMJENE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9D4B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2A11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AA7B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3.661,00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06EA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36,79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18A0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13.611,00</w:t>
            </w:r>
          </w:p>
        </w:tc>
      </w:tr>
      <w:tr w:rsidR="00DC6F75" w:rsidRPr="00DC6F75" w14:paraId="19F1DC9A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A09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D1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91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9.880,00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BE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3.661,00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3D3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37,05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399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13.541,00</w:t>
            </w:r>
          </w:p>
        </w:tc>
      </w:tr>
      <w:tr w:rsidR="00DC6F75" w:rsidRPr="00DC6F75" w14:paraId="442ABD11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C0C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0E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93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0C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DB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51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70,00</w:t>
            </w:r>
          </w:p>
        </w:tc>
      </w:tr>
      <w:tr w:rsidR="00DC6F75" w:rsidRPr="00DC6F75" w14:paraId="01A98E01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A415F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C321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AC2D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1C98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D6A4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31A0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DC6F75" w:rsidRPr="00DC6F75" w14:paraId="575CD3CC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6B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D0E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11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1A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D8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D5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DC6F75" w:rsidRPr="00DC6F75" w14:paraId="0C1EB6E5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3624D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A500014 Književni susreti i radionice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30C70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0B08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152C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3.740,00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29D4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35,96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86A9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14.140,00</w:t>
            </w:r>
          </w:p>
        </w:tc>
      </w:tr>
      <w:tr w:rsidR="00DC6F75" w:rsidRPr="00DC6F75" w14:paraId="16D6B820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B28F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3.9. VLASTITI PRIHODI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F40E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AC2F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5D20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7F42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EFF5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3.140,00</w:t>
            </w:r>
          </w:p>
        </w:tc>
      </w:tr>
      <w:tr w:rsidR="00DC6F75" w:rsidRPr="00DC6F75" w14:paraId="4DA21AA5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5F5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3E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24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B56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1.440,00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B8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84,71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FD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3.140,00</w:t>
            </w:r>
          </w:p>
        </w:tc>
      </w:tr>
      <w:tr w:rsidR="00DC6F75" w:rsidRPr="00DC6F75" w14:paraId="48D13949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50FF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PRIHODI ZA POSEBNE NAMJENE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289B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B000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D341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3E92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4BA7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</w:tr>
      <w:tr w:rsidR="00DC6F75" w:rsidRPr="00DC6F75" w14:paraId="7EFF68A4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788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B9E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2F2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B8E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A7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52,63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78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</w:tr>
      <w:tr w:rsidR="00DC6F75" w:rsidRPr="00DC6F75" w14:paraId="706D3775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E556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F847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9DBF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7790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BD30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-23,33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B44D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DC6F75" w:rsidRPr="00DC6F75" w14:paraId="5D1CB5AA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2A9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4A4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C6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3D3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18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FE4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DC6F75" w:rsidRPr="00DC6F75" w14:paraId="40927230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17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D0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D33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D7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91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CED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DC6F75" w:rsidRPr="00DC6F75" w14:paraId="5F780541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3371F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500 UPRAVNI ODJEL ZA DRUŠTVENE DJELATNOSTI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A87C2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FAFD96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35351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419A6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CE2BE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DC6F75" w:rsidRPr="00DC6F75" w14:paraId="1FCB77DE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6E66A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50004 USTANOVE U KULTURI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64FEE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594469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64610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EA108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8992A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DC6F75" w:rsidRPr="00DC6F75" w14:paraId="489F759D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BC254C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42266 GRADSKA KNJIŽNICA LABIN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3ACA3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F6D09E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521E64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08BA89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8CF027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DC6F75" w:rsidRPr="00DC6F75" w14:paraId="77D04648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6FD9B5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5004 Promicanje kulture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FFCE2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942FA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35.230,00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F57EE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5.871,00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11235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86149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41.101,00</w:t>
            </w:r>
          </w:p>
        </w:tc>
      </w:tr>
      <w:tr w:rsidR="00DC6F75" w:rsidRPr="00DC6F75" w14:paraId="7E0CDCA5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253FA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A500013 Financiranje redovne djelatnosti knjižnice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8369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35D4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BD600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5.533,00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8D497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537,18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0709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6.563,00</w:t>
            </w:r>
          </w:p>
        </w:tc>
      </w:tr>
      <w:tr w:rsidR="00DC6F75" w:rsidRPr="00DC6F75" w14:paraId="62368D2C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9AD30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3.9. VLASTITI PRIHODI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5DF08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A128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53F4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4.294,00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93AD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1.431,33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439B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4.594,00</w:t>
            </w:r>
          </w:p>
        </w:tc>
      </w:tr>
      <w:tr w:rsidR="00DC6F75" w:rsidRPr="00DC6F75" w14:paraId="2D96C494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C89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EF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A2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A5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4.294,00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73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1.431,33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3F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4.594,00</w:t>
            </w:r>
          </w:p>
        </w:tc>
      </w:tr>
      <w:tr w:rsidR="00DC6F75" w:rsidRPr="00DC6F75" w14:paraId="54BAEFF4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026EE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PRIHODI ZA POSEBNE NAMJENE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E21EA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F9EC1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3A05B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B034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93F3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DC6F75" w:rsidRPr="00DC6F75" w14:paraId="07CC9CC9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4EB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B9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44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5A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BF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05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DC6F75" w:rsidRPr="00DC6F75" w14:paraId="7D745402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789C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EAC4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4171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63AB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639,00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6B62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F7AB5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639,00</w:t>
            </w:r>
          </w:p>
        </w:tc>
      </w:tr>
      <w:tr w:rsidR="00DC6F75" w:rsidRPr="00DC6F75" w14:paraId="3F7D76E6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E2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111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F9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C7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639,00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6C8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6C8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639,00</w:t>
            </w:r>
          </w:p>
        </w:tc>
      </w:tr>
      <w:tr w:rsidR="00DC6F75" w:rsidRPr="00DC6F75" w14:paraId="01CF40D6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7332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6.9. DONACIJE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1C0E7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202B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EBAB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DB39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012D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6273D10C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01D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ACD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77C2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8D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90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639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730,00</w:t>
            </w:r>
          </w:p>
        </w:tc>
      </w:tr>
      <w:tr w:rsidR="00DC6F75" w:rsidRPr="00DC6F75" w14:paraId="144B33E0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7A09D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K500001 Kapitalna ulaganja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9660C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CD15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807E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3976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3777A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34.538,00</w:t>
            </w:r>
          </w:p>
        </w:tc>
      </w:tr>
      <w:tr w:rsidR="00DC6F75" w:rsidRPr="00DC6F75" w14:paraId="079B6E41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1E6D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118C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B1B1D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FCE1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2D59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8344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DC6F75" w:rsidRPr="00DC6F75" w14:paraId="148455A2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65E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11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DAD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38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75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B46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DC6F75" w:rsidRPr="00DC6F75" w14:paraId="3F6924B9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5F33B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POMOĆI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0EDEF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4B8F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25.900,00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814EC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1788FD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F10E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25.900,00</w:t>
            </w:r>
          </w:p>
        </w:tc>
      </w:tr>
      <w:tr w:rsidR="00DC6F75" w:rsidRPr="00DC6F75" w14:paraId="5A35EC8D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1C4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DC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85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25.900,00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E540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6B4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1A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25.900,00</w:t>
            </w:r>
          </w:p>
        </w:tc>
      </w:tr>
      <w:tr w:rsidR="00DC6F75" w:rsidRPr="00DC6F75" w14:paraId="0F87B9A6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0BF3A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7.9. PRIHODI OD NEFINANCIJSKE IMOVINE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50463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62E8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37503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CE5FB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FAB9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638,00</w:t>
            </w:r>
          </w:p>
        </w:tc>
      </w:tr>
      <w:tr w:rsidR="00DC6F75" w:rsidRPr="00DC6F75" w14:paraId="5405E6B2" w14:textId="77777777" w:rsidTr="00DC6F75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C256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D72" w14:textId="77777777" w:rsidR="00DC6F75" w:rsidRPr="00DC6F75" w:rsidRDefault="00DC6F75" w:rsidP="00DC6F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74F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625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338,00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81E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112,67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A619" w14:textId="77777777" w:rsidR="00DC6F75" w:rsidRPr="00DC6F75" w:rsidRDefault="00DC6F75" w:rsidP="00DC6F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F7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638,00</w:t>
            </w:r>
          </w:p>
        </w:tc>
      </w:tr>
    </w:tbl>
    <w:p w14:paraId="5D39B69B" w14:textId="77777777" w:rsidR="004375B1" w:rsidRDefault="00DC6F75" w:rsidP="004375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CEA29E9" w14:textId="77777777" w:rsidR="004375B1" w:rsidRDefault="004375B1" w:rsidP="004375B1">
      <w:pPr>
        <w:rPr>
          <w:rFonts w:ascii="Arial" w:hAnsi="Arial" w:cs="Arial"/>
          <w:b/>
          <w:bCs/>
          <w:sz w:val="24"/>
          <w:szCs w:val="24"/>
        </w:rPr>
      </w:pPr>
    </w:p>
    <w:p w14:paraId="13757991" w14:textId="77777777" w:rsidR="002D5E26" w:rsidRDefault="002D5E26" w:rsidP="004375B1">
      <w:pPr>
        <w:rPr>
          <w:rFonts w:ascii="Arial" w:hAnsi="Arial" w:cs="Arial"/>
          <w:b/>
          <w:bCs/>
          <w:sz w:val="24"/>
          <w:szCs w:val="24"/>
        </w:rPr>
      </w:pPr>
    </w:p>
    <w:p w14:paraId="5CF84A13" w14:textId="77777777" w:rsidR="00B6061C" w:rsidRDefault="00B6061C" w:rsidP="004375B1">
      <w:pPr>
        <w:rPr>
          <w:rFonts w:ascii="Arial" w:hAnsi="Arial" w:cs="Arial"/>
          <w:b/>
          <w:bCs/>
          <w:sz w:val="24"/>
          <w:szCs w:val="24"/>
        </w:rPr>
        <w:sectPr w:rsidR="00B6061C" w:rsidSect="00A618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08D7F8" w14:textId="53FFDBD0" w:rsidR="0089468E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lastRenderedPageBreak/>
        <w:t xml:space="preserve">OBRAZLOŽENJE </w:t>
      </w:r>
    </w:p>
    <w:p w14:paraId="02FDB387" w14:textId="77777777" w:rsidR="004375B1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PRIJEDLOGA </w:t>
      </w:r>
      <w:r w:rsidRPr="00F30C25">
        <w:rPr>
          <w:rFonts w:ascii="Arial" w:hAnsi="Arial" w:cs="Arial"/>
          <w:b/>
          <w:bCs/>
          <w:sz w:val="24"/>
          <w:szCs w:val="24"/>
        </w:rPr>
        <w:t>I. IZMJENA I DOPUNA FINANCIJSKOG PLANA</w:t>
      </w:r>
    </w:p>
    <w:p w14:paraId="7852109E" w14:textId="59DCF149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>GRADSKE KNJIŽNICE LABIN ZA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30C25">
        <w:rPr>
          <w:rFonts w:ascii="Arial" w:hAnsi="Arial" w:cs="Arial"/>
          <w:b/>
          <w:bCs/>
          <w:sz w:val="24"/>
          <w:szCs w:val="24"/>
        </w:rPr>
        <w:t>. GODINU</w:t>
      </w:r>
    </w:p>
    <w:p w14:paraId="7F548132" w14:textId="77777777" w:rsidR="0089468E" w:rsidRPr="00F30C25" w:rsidRDefault="0089468E" w:rsidP="008946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D487B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2977D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531B" w14:textId="2A452B3D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Sukladno promjenama okolnosti poslovanja </w:t>
      </w:r>
      <w:r>
        <w:rPr>
          <w:rFonts w:ascii="Arial" w:hAnsi="Arial" w:cs="Arial"/>
          <w:sz w:val="24"/>
          <w:szCs w:val="24"/>
        </w:rPr>
        <w:t xml:space="preserve">i uputama dobivenima od Upravnog odjela za financije Grada Labina, </w:t>
      </w:r>
      <w:r w:rsidRPr="00F30C25">
        <w:rPr>
          <w:rFonts w:ascii="Arial" w:hAnsi="Arial" w:cs="Arial"/>
          <w:sz w:val="24"/>
          <w:szCs w:val="24"/>
        </w:rPr>
        <w:t xml:space="preserve">Gradska knjižnica Labin </w:t>
      </w:r>
      <w:r>
        <w:rPr>
          <w:rFonts w:ascii="Arial" w:hAnsi="Arial" w:cs="Arial"/>
          <w:sz w:val="24"/>
          <w:szCs w:val="24"/>
        </w:rPr>
        <w:t xml:space="preserve">izradila je Prijedlog I. </w:t>
      </w:r>
      <w:r w:rsidRPr="00F30C25">
        <w:rPr>
          <w:rFonts w:ascii="Arial" w:hAnsi="Arial" w:cs="Arial"/>
          <w:sz w:val="24"/>
          <w:szCs w:val="24"/>
        </w:rPr>
        <w:t>izmjen</w:t>
      </w:r>
      <w:r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i dopun</w:t>
      </w:r>
      <w:r>
        <w:rPr>
          <w:rFonts w:ascii="Arial" w:hAnsi="Arial" w:cs="Arial"/>
          <w:sz w:val="24"/>
          <w:szCs w:val="24"/>
        </w:rPr>
        <w:t>a</w:t>
      </w:r>
      <w:r w:rsidRPr="00F30C25">
        <w:rPr>
          <w:rFonts w:ascii="Arial" w:hAnsi="Arial" w:cs="Arial"/>
          <w:sz w:val="24"/>
          <w:szCs w:val="24"/>
        </w:rPr>
        <w:t xml:space="preserve"> Financijskog plana za 202</w:t>
      </w:r>
      <w:r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32D2EB3B" w14:textId="33E4B3AC" w:rsidR="0089468E" w:rsidRPr="00F30C25" w:rsidRDefault="0089468E" w:rsidP="008946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I. Izmjena i dopuna Financijskog plana za 2025. godinu utvrđen je u visini od 271.226,00 eura te u</w:t>
      </w:r>
      <w:r w:rsidRPr="00F30C25">
        <w:rPr>
          <w:rFonts w:ascii="Arial" w:hAnsi="Arial" w:cs="Arial"/>
          <w:sz w:val="24"/>
          <w:szCs w:val="24"/>
        </w:rPr>
        <w:t>kupno povećanje planiranog iznosa sredstava za 202</w:t>
      </w:r>
      <w:r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godinu iznosi </w:t>
      </w:r>
      <w:r>
        <w:rPr>
          <w:rFonts w:ascii="Arial" w:hAnsi="Arial" w:cs="Arial"/>
          <w:sz w:val="24"/>
          <w:szCs w:val="24"/>
        </w:rPr>
        <w:t>22.991,00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9,26</w:t>
      </w:r>
      <w:r w:rsidRPr="00F30C25">
        <w:rPr>
          <w:rFonts w:ascii="Arial" w:hAnsi="Arial" w:cs="Arial"/>
          <w:sz w:val="24"/>
          <w:szCs w:val="24"/>
        </w:rPr>
        <w:t xml:space="preserve"> %).</w:t>
      </w:r>
    </w:p>
    <w:p w14:paraId="609707A7" w14:textId="77777777" w:rsidR="0089468E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0D8DFA" w14:textId="77777777" w:rsidR="0089468E" w:rsidRPr="00F30C25" w:rsidRDefault="0089468E" w:rsidP="008946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OBRAZLOŽENJE OPĆEG D</w:t>
      </w:r>
      <w:r>
        <w:rPr>
          <w:rFonts w:ascii="Arial" w:hAnsi="Arial" w:cs="Arial"/>
          <w:b/>
          <w:sz w:val="24"/>
          <w:szCs w:val="24"/>
        </w:rPr>
        <w:t>I</w:t>
      </w:r>
      <w:r w:rsidRPr="00F30C25">
        <w:rPr>
          <w:rFonts w:ascii="Arial" w:hAnsi="Arial" w:cs="Arial"/>
          <w:b/>
          <w:sz w:val="24"/>
          <w:szCs w:val="24"/>
        </w:rPr>
        <w:t xml:space="preserve">JELA </w:t>
      </w:r>
    </w:p>
    <w:p w14:paraId="2C0C7069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EKONOMSKOJ KLASIFIKACIJI</w:t>
      </w:r>
    </w:p>
    <w:p w14:paraId="744135A5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</w:rPr>
      </w:pPr>
    </w:p>
    <w:p w14:paraId="04B4026A" w14:textId="7777777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  <w:u w:val="single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prihoda i primitaka</w:t>
      </w:r>
    </w:p>
    <w:p w14:paraId="08CD5F93" w14:textId="127901D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Prihodi i primci poslovanja planirani su u iznosu od </w:t>
      </w:r>
      <w:r w:rsidR="00EF7CB0">
        <w:rPr>
          <w:rFonts w:ascii="Arial" w:hAnsi="Arial" w:cs="Arial"/>
          <w:sz w:val="24"/>
          <w:szCs w:val="24"/>
        </w:rPr>
        <w:t>271.226,00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9,</w:t>
      </w:r>
      <w:r w:rsidR="00EF7CB0">
        <w:rPr>
          <w:rFonts w:ascii="Arial" w:hAnsi="Arial" w:cs="Arial"/>
          <w:sz w:val="24"/>
          <w:szCs w:val="24"/>
        </w:rPr>
        <w:t>26</w:t>
      </w:r>
      <w:r w:rsidRPr="00F30C25">
        <w:rPr>
          <w:rFonts w:ascii="Arial" w:hAnsi="Arial" w:cs="Arial"/>
          <w:sz w:val="24"/>
          <w:szCs w:val="24"/>
        </w:rPr>
        <w:t xml:space="preserve">% više u odnosu na </w:t>
      </w:r>
      <w:r>
        <w:rPr>
          <w:rFonts w:ascii="Arial" w:hAnsi="Arial" w:cs="Arial"/>
          <w:sz w:val="24"/>
          <w:szCs w:val="24"/>
        </w:rPr>
        <w:t xml:space="preserve">usvojen </w:t>
      </w:r>
      <w:r w:rsidRPr="00F30C25">
        <w:rPr>
          <w:rFonts w:ascii="Arial" w:hAnsi="Arial" w:cs="Arial"/>
          <w:sz w:val="24"/>
          <w:szCs w:val="24"/>
        </w:rPr>
        <w:t>Financijski plan za 202</w:t>
      </w:r>
      <w:r w:rsidR="00EF7CB0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49D82D52" w14:textId="2E744057" w:rsidR="0089468E" w:rsidRPr="004375B1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Prihodi iz nadležnog proračuna (67)</w:t>
      </w:r>
      <w:r w:rsidRPr="00F30C25">
        <w:rPr>
          <w:rFonts w:ascii="Arial" w:hAnsi="Arial" w:cs="Arial"/>
          <w:sz w:val="24"/>
          <w:szCs w:val="24"/>
        </w:rPr>
        <w:t xml:space="preserve"> planirani su u iznosu od </w:t>
      </w:r>
      <w:r w:rsidR="00EF7CB0">
        <w:rPr>
          <w:rFonts w:ascii="Arial" w:hAnsi="Arial" w:cs="Arial"/>
          <w:sz w:val="24"/>
          <w:szCs w:val="24"/>
        </w:rPr>
        <w:t>208.374,00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, </w:t>
      </w:r>
      <w:r w:rsidRPr="0019397C">
        <w:rPr>
          <w:rFonts w:ascii="Arial" w:hAnsi="Arial" w:cs="Arial"/>
          <w:sz w:val="24"/>
          <w:szCs w:val="24"/>
        </w:rPr>
        <w:t xml:space="preserve">te se bilježi povećanje za iznos od </w:t>
      </w:r>
      <w:r w:rsidR="005A095A">
        <w:rPr>
          <w:rFonts w:ascii="Arial" w:hAnsi="Arial" w:cs="Arial"/>
          <w:sz w:val="24"/>
          <w:szCs w:val="24"/>
        </w:rPr>
        <w:t>9.719,00</w:t>
      </w:r>
      <w:r w:rsidRPr="0019397C">
        <w:rPr>
          <w:rFonts w:ascii="Arial" w:hAnsi="Arial" w:cs="Arial"/>
          <w:sz w:val="24"/>
          <w:szCs w:val="24"/>
        </w:rPr>
        <w:t xml:space="preserve"> eura, </w:t>
      </w:r>
      <w:r w:rsidRPr="00F30C25">
        <w:rPr>
          <w:rFonts w:ascii="Arial" w:hAnsi="Arial" w:cs="Arial"/>
          <w:sz w:val="24"/>
          <w:szCs w:val="24"/>
        </w:rPr>
        <w:t>odnosno</w:t>
      </w:r>
      <w:r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za </w:t>
      </w:r>
      <w:r w:rsidR="005A095A">
        <w:rPr>
          <w:rFonts w:ascii="Arial" w:hAnsi="Arial" w:cs="Arial"/>
          <w:sz w:val="24"/>
          <w:szCs w:val="24"/>
        </w:rPr>
        <w:t>4,89</w:t>
      </w:r>
      <w:r w:rsidRPr="00F30C25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 a odnose se n</w:t>
      </w:r>
      <w:r w:rsidRPr="00F30C25">
        <w:rPr>
          <w:rFonts w:ascii="Arial" w:hAnsi="Arial" w:cs="Arial"/>
          <w:sz w:val="24"/>
          <w:szCs w:val="24"/>
        </w:rPr>
        <w:t>a prihode iz nadležnog proračuna za financiranje redovne djelatnosti. Povećanje se odnosi na naplatu prihoda za plaćene obveze</w:t>
      </w:r>
      <w:r>
        <w:rPr>
          <w:rFonts w:ascii="Arial" w:hAnsi="Arial" w:cs="Arial"/>
          <w:sz w:val="24"/>
          <w:szCs w:val="24"/>
        </w:rPr>
        <w:t>,</w:t>
      </w:r>
      <w:r w:rsidRPr="00F30C25">
        <w:rPr>
          <w:rFonts w:ascii="Arial" w:hAnsi="Arial" w:cs="Arial"/>
          <w:sz w:val="24"/>
          <w:szCs w:val="24"/>
        </w:rPr>
        <w:t xml:space="preserve"> čime će se pokriti manjak prihoda poslovanja iz 202</w:t>
      </w:r>
      <w:r w:rsidR="005A095A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 xml:space="preserve">. godine, te na </w:t>
      </w:r>
      <w:r>
        <w:rPr>
          <w:rFonts w:ascii="Arial" w:hAnsi="Arial" w:cs="Arial"/>
          <w:sz w:val="24"/>
          <w:szCs w:val="24"/>
        </w:rPr>
        <w:t>financiranje plaća i ostalih rashoda za pet djelatnika</w:t>
      </w:r>
      <w:r w:rsidR="005A095A" w:rsidRPr="004375B1">
        <w:rPr>
          <w:rFonts w:ascii="Arial" w:hAnsi="Arial" w:cs="Arial"/>
          <w:sz w:val="24"/>
          <w:szCs w:val="24"/>
        </w:rPr>
        <w:t xml:space="preserve">. </w:t>
      </w:r>
      <w:r w:rsidR="004375B1" w:rsidRPr="004375B1">
        <w:rPr>
          <w:rFonts w:ascii="Arial" w:hAnsi="Arial" w:cs="Arial"/>
          <w:sz w:val="24"/>
          <w:szCs w:val="24"/>
        </w:rPr>
        <w:t>Planirano je zapošljavanje jednog stručnog djelatnika knjižničara na upražnjeno radno mjesto.</w:t>
      </w:r>
    </w:p>
    <w:p w14:paraId="054F6EFF" w14:textId="3465D820" w:rsidR="0089468E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Prihodi iz inozemstva i od subjekta unutar općeg proračuna (63)</w:t>
      </w:r>
      <w:r w:rsidRPr="00F30C25">
        <w:rPr>
          <w:rFonts w:ascii="Arial" w:hAnsi="Arial" w:cs="Arial"/>
          <w:sz w:val="24"/>
          <w:szCs w:val="24"/>
        </w:rPr>
        <w:t xml:space="preserve"> planirani su u iznosu od </w:t>
      </w:r>
      <w:r w:rsidR="005A095A">
        <w:rPr>
          <w:rFonts w:ascii="Arial" w:hAnsi="Arial" w:cs="Arial"/>
          <w:sz w:val="24"/>
          <w:szCs w:val="24"/>
        </w:rPr>
        <w:t>29.200,00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5A095A">
        <w:rPr>
          <w:rFonts w:ascii="Arial" w:hAnsi="Arial" w:cs="Arial"/>
          <w:sz w:val="24"/>
          <w:szCs w:val="24"/>
        </w:rPr>
        <w:t>2,34</w:t>
      </w:r>
      <w:r w:rsidRPr="00F30C25">
        <w:rPr>
          <w:rFonts w:ascii="Arial" w:hAnsi="Arial" w:cs="Arial"/>
          <w:sz w:val="24"/>
          <w:szCs w:val="24"/>
        </w:rPr>
        <w:t xml:space="preserve">% manje u odnosu na Financijski plan za </w:t>
      </w:r>
      <w:r>
        <w:rPr>
          <w:rFonts w:ascii="Arial" w:hAnsi="Arial" w:cs="Arial"/>
          <w:sz w:val="24"/>
          <w:szCs w:val="24"/>
        </w:rPr>
        <w:t>202</w:t>
      </w:r>
      <w:r w:rsidR="005A095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F30C25">
        <w:rPr>
          <w:rFonts w:ascii="Arial" w:hAnsi="Arial" w:cs="Arial"/>
          <w:sz w:val="24"/>
          <w:szCs w:val="24"/>
        </w:rPr>
        <w:t xml:space="preserve"> godinu</w:t>
      </w:r>
      <w:r>
        <w:rPr>
          <w:rFonts w:ascii="Arial" w:hAnsi="Arial" w:cs="Arial"/>
          <w:sz w:val="24"/>
          <w:szCs w:val="24"/>
        </w:rPr>
        <w:t xml:space="preserve">, a odnose se na </w:t>
      </w:r>
      <w:bookmarkStart w:id="0" w:name="_Hlk168051994"/>
      <w:r>
        <w:rPr>
          <w:rFonts w:ascii="Arial" w:hAnsi="Arial" w:cs="Arial"/>
          <w:sz w:val="24"/>
          <w:szCs w:val="24"/>
        </w:rPr>
        <w:t>financiranje programa knjižnične djelatnosti odobrenih putem Javnog poziva Ministarstva kulture i medija Republike Hrvatske, kao i za financiranje nabave knjižnične građe.</w:t>
      </w:r>
      <w:bookmarkEnd w:id="0"/>
      <w:r>
        <w:rPr>
          <w:rFonts w:ascii="Arial" w:hAnsi="Arial" w:cs="Arial"/>
          <w:sz w:val="24"/>
          <w:szCs w:val="24"/>
        </w:rPr>
        <w:t xml:space="preserve"> Sukladno rezultatima Poziva, izvršene su potrebne korekcije. Prihodi se dijelom odnose i na financiranje </w:t>
      </w:r>
      <w:bookmarkStart w:id="1" w:name="_Hlk168312359"/>
      <w:r>
        <w:rPr>
          <w:rFonts w:ascii="Arial" w:hAnsi="Arial" w:cs="Arial"/>
          <w:sz w:val="24"/>
          <w:szCs w:val="24"/>
        </w:rPr>
        <w:t>Inicijative za besplatno učlanjenje djece do 15 godina starosti u Knjižnicu</w:t>
      </w:r>
      <w:bookmarkEnd w:id="1"/>
      <w:r>
        <w:rPr>
          <w:rFonts w:ascii="Arial" w:hAnsi="Arial" w:cs="Arial"/>
          <w:sz w:val="24"/>
          <w:szCs w:val="24"/>
        </w:rPr>
        <w:t>, a koju su dosad podržale općine Raša, Sveta Nedelja i Pićan te u tu svrhu osigurale financijska sredstva u ukupnom iznosu od 1.400,00 eura.</w:t>
      </w:r>
    </w:p>
    <w:p w14:paraId="5361D5B2" w14:textId="32DBFA24" w:rsidR="0089468E" w:rsidRPr="00DA3EE4" w:rsidRDefault="00DA3EE4" w:rsidP="0089468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89468E" w:rsidRPr="00DA3EE4">
        <w:rPr>
          <w:rFonts w:ascii="Arial" w:hAnsi="Arial" w:cs="Arial"/>
          <w:b/>
          <w:bCs/>
          <w:color w:val="000000" w:themeColor="text1"/>
          <w:sz w:val="24"/>
          <w:szCs w:val="24"/>
        </w:rPr>
        <w:t>rihodi od upravnih i administrativnih pristojbi, pristojbi po posebnim propisima (65)</w:t>
      </w:r>
      <w:r w:rsidRPr="00DA3E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povećani </w:t>
      </w:r>
      <w:r w:rsidR="0089468E" w:rsidRPr="00DA3EE4">
        <w:rPr>
          <w:rFonts w:ascii="Arial" w:hAnsi="Arial" w:cs="Arial"/>
          <w:color w:val="000000" w:themeColor="text1"/>
          <w:sz w:val="24"/>
          <w:szCs w:val="24"/>
        </w:rPr>
        <w:t xml:space="preserve">su u iznosu od </w:t>
      </w:r>
      <w:r w:rsidRPr="00DA3EE4">
        <w:rPr>
          <w:rFonts w:ascii="Arial" w:hAnsi="Arial" w:cs="Arial"/>
          <w:color w:val="000000" w:themeColor="text1"/>
          <w:sz w:val="24"/>
          <w:szCs w:val="24"/>
        </w:rPr>
        <w:t xml:space="preserve">1.000,00 </w:t>
      </w:r>
      <w:r w:rsidR="0089468E" w:rsidRPr="00DA3EE4">
        <w:rPr>
          <w:rFonts w:ascii="Arial" w:hAnsi="Arial" w:cs="Arial"/>
          <w:color w:val="000000" w:themeColor="text1"/>
          <w:sz w:val="24"/>
          <w:szCs w:val="24"/>
        </w:rPr>
        <w:t xml:space="preserve">eura i odnose se na </w:t>
      </w:r>
      <w:r w:rsidRPr="00DA3EE4">
        <w:rPr>
          <w:rFonts w:ascii="Arial" w:hAnsi="Arial" w:cs="Arial"/>
          <w:color w:val="000000" w:themeColor="text1"/>
          <w:sz w:val="24"/>
          <w:szCs w:val="24"/>
        </w:rPr>
        <w:t>sufinanciranje cijene usluga i participacije</w:t>
      </w:r>
      <w:r w:rsidR="0089468E" w:rsidRPr="00DA3EE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4FFC2E" w14:textId="5239D7CF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Rezultat poslovanja – višak prihoda (92) </w:t>
      </w:r>
      <w:r w:rsidRPr="00F30C25">
        <w:rPr>
          <w:rFonts w:ascii="Arial" w:hAnsi="Arial" w:cs="Arial"/>
          <w:sz w:val="24"/>
          <w:szCs w:val="24"/>
        </w:rPr>
        <w:t>iz 202</w:t>
      </w:r>
      <w:r w:rsidR="005A095A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 xml:space="preserve">. godine iznosi </w:t>
      </w:r>
      <w:r w:rsidR="005A095A">
        <w:rPr>
          <w:rFonts w:ascii="Arial" w:hAnsi="Arial" w:cs="Arial"/>
          <w:sz w:val="24"/>
          <w:szCs w:val="24"/>
        </w:rPr>
        <w:t>3.603,44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.</w:t>
      </w:r>
    </w:p>
    <w:p w14:paraId="768A6DD7" w14:textId="77777777" w:rsidR="0089468E" w:rsidRDefault="0089468E" w:rsidP="0089468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7A4B822" w14:textId="77777777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  <w:u w:val="single"/>
        </w:rPr>
        <w:t>Obrazloženje rashoda i izdataka</w:t>
      </w:r>
    </w:p>
    <w:p w14:paraId="4538C0E6" w14:textId="15F6727B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lastRenderedPageBreak/>
        <w:t xml:space="preserve">Rashodi i izdaci poslovanja planirani su u iznosu od </w:t>
      </w:r>
      <w:r w:rsidR="00AF4E32">
        <w:rPr>
          <w:rFonts w:ascii="Arial" w:hAnsi="Arial" w:cs="Arial"/>
          <w:sz w:val="24"/>
          <w:szCs w:val="24"/>
        </w:rPr>
        <w:t>271.226,00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9,</w:t>
      </w:r>
      <w:r w:rsidR="003F6F34">
        <w:rPr>
          <w:rFonts w:ascii="Arial" w:hAnsi="Arial" w:cs="Arial"/>
          <w:sz w:val="24"/>
          <w:szCs w:val="24"/>
        </w:rPr>
        <w:t>26</w:t>
      </w:r>
      <w:r w:rsidRPr="00F30C25">
        <w:rPr>
          <w:rFonts w:ascii="Arial" w:hAnsi="Arial" w:cs="Arial"/>
          <w:sz w:val="24"/>
          <w:szCs w:val="24"/>
        </w:rPr>
        <w:t>% više u odnosu na Financijski plan za 202</w:t>
      </w:r>
      <w:r w:rsidR="003F6F34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>. godinu.</w:t>
      </w:r>
    </w:p>
    <w:p w14:paraId="2D4D1B83" w14:textId="31E7B626" w:rsidR="0089468E" w:rsidRPr="004375B1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Rashodi za zaposlene (31) - </w:t>
      </w:r>
      <w:r w:rsidRPr="00F30C25">
        <w:rPr>
          <w:rFonts w:ascii="Arial" w:hAnsi="Arial" w:cs="Arial"/>
          <w:sz w:val="24"/>
          <w:szCs w:val="24"/>
        </w:rPr>
        <w:t xml:space="preserve">planirani su u iznosu od </w:t>
      </w:r>
      <w:r w:rsidR="003F6F34">
        <w:rPr>
          <w:rFonts w:ascii="Arial" w:hAnsi="Arial" w:cs="Arial"/>
          <w:sz w:val="24"/>
          <w:szCs w:val="24"/>
        </w:rPr>
        <w:t>140.775,00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0,</w:t>
      </w:r>
      <w:r w:rsidR="003F6F34">
        <w:rPr>
          <w:rFonts w:ascii="Arial" w:hAnsi="Arial" w:cs="Arial"/>
          <w:sz w:val="24"/>
          <w:szCs w:val="24"/>
        </w:rPr>
        <w:t>50</w:t>
      </w:r>
      <w:r w:rsidRPr="00F30C25">
        <w:rPr>
          <w:rFonts w:ascii="Arial" w:hAnsi="Arial" w:cs="Arial"/>
          <w:sz w:val="24"/>
          <w:szCs w:val="24"/>
        </w:rPr>
        <w:t>% više od plana za 202</w:t>
      </w:r>
      <w:r w:rsidR="003F6F34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godinu. </w:t>
      </w:r>
      <w:r w:rsidRPr="004375B1">
        <w:rPr>
          <w:rFonts w:ascii="Arial" w:hAnsi="Arial" w:cs="Arial"/>
          <w:sz w:val="24"/>
          <w:szCs w:val="24"/>
        </w:rPr>
        <w:t xml:space="preserve">Rashodi su povećani radi </w:t>
      </w:r>
      <w:r w:rsidR="00DA3EE4" w:rsidRPr="004375B1">
        <w:rPr>
          <w:rFonts w:ascii="Arial" w:hAnsi="Arial" w:cs="Arial"/>
          <w:sz w:val="24"/>
          <w:szCs w:val="24"/>
        </w:rPr>
        <w:t xml:space="preserve">planiranja zapošljavanja </w:t>
      </w:r>
      <w:r w:rsidR="004375B1" w:rsidRPr="004375B1">
        <w:rPr>
          <w:rFonts w:ascii="Arial" w:hAnsi="Arial" w:cs="Arial"/>
          <w:sz w:val="24"/>
          <w:szCs w:val="24"/>
        </w:rPr>
        <w:t>jednog stručnog djelatnika knjižničara na upražnjeno radno mjesto.</w:t>
      </w:r>
    </w:p>
    <w:p w14:paraId="02252FE9" w14:textId="773B9DA5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Materijalni rashodi (32) - </w:t>
      </w:r>
      <w:r w:rsidRPr="00F30C25">
        <w:rPr>
          <w:rFonts w:ascii="Arial" w:hAnsi="Arial" w:cs="Arial"/>
          <w:sz w:val="24"/>
          <w:szCs w:val="24"/>
        </w:rPr>
        <w:t xml:space="preserve">planirani su u iznosu od </w:t>
      </w:r>
      <w:r w:rsidR="003F6F34">
        <w:rPr>
          <w:rFonts w:ascii="Arial" w:hAnsi="Arial" w:cs="Arial"/>
          <w:sz w:val="24"/>
          <w:szCs w:val="24"/>
        </w:rPr>
        <w:t>80.261,00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3F6F34">
        <w:rPr>
          <w:rFonts w:ascii="Arial" w:hAnsi="Arial" w:cs="Arial"/>
          <w:sz w:val="24"/>
          <w:szCs w:val="24"/>
        </w:rPr>
        <w:t>10,16</w:t>
      </w:r>
      <w:r w:rsidRPr="00F30C25">
        <w:rPr>
          <w:rFonts w:ascii="Arial" w:hAnsi="Arial" w:cs="Arial"/>
          <w:sz w:val="24"/>
          <w:szCs w:val="24"/>
        </w:rPr>
        <w:t xml:space="preserve"> % više od plana za 2024. godinu. Planira se povećanje </w:t>
      </w:r>
      <w:r w:rsidR="003F6F34">
        <w:rPr>
          <w:rFonts w:ascii="Arial" w:hAnsi="Arial" w:cs="Arial"/>
          <w:sz w:val="24"/>
          <w:szCs w:val="24"/>
        </w:rPr>
        <w:t>službenih putovanja, stručna usavršavanja zaposlenika</w:t>
      </w:r>
      <w:r w:rsidRPr="00F30C25">
        <w:rPr>
          <w:rFonts w:ascii="Arial" w:hAnsi="Arial" w:cs="Arial"/>
          <w:sz w:val="24"/>
          <w:szCs w:val="24"/>
        </w:rPr>
        <w:t>, materijala i dijelova za tekuće i investicijsko održavanje,</w:t>
      </w:r>
      <w:r w:rsidR="00D0468E">
        <w:rPr>
          <w:rFonts w:ascii="Arial" w:hAnsi="Arial" w:cs="Arial"/>
          <w:sz w:val="24"/>
          <w:szCs w:val="24"/>
        </w:rPr>
        <w:t xml:space="preserve"> sitnog inventara, zdravstvenih usluga, intelektualnih usluga, računalnih usluga, reprezentacije i ostalih nespomenutih rashoda poslovanja.</w:t>
      </w:r>
    </w:p>
    <w:p w14:paraId="67AB9D69" w14:textId="66FEAD53" w:rsidR="0089468E" w:rsidRPr="00F30C25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Financijski rashodi (34) </w:t>
      </w:r>
      <w:r w:rsidRPr="00F30C25">
        <w:rPr>
          <w:rFonts w:ascii="Arial" w:hAnsi="Arial" w:cs="Arial"/>
          <w:sz w:val="24"/>
          <w:szCs w:val="24"/>
        </w:rPr>
        <w:t xml:space="preserve">– planirani su u iznosu od </w:t>
      </w:r>
      <w:r w:rsidR="00D0468E">
        <w:rPr>
          <w:rFonts w:ascii="Arial" w:hAnsi="Arial" w:cs="Arial"/>
          <w:sz w:val="24"/>
          <w:szCs w:val="24"/>
        </w:rPr>
        <w:t>70,00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.</w:t>
      </w:r>
    </w:p>
    <w:p w14:paraId="1FEB636D" w14:textId="67A47D4F" w:rsidR="004375B1" w:rsidRPr="004375B1" w:rsidRDefault="0089468E" w:rsidP="004375B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F30C25">
        <w:rPr>
          <w:rFonts w:ascii="Arial" w:hAnsi="Arial" w:cs="Arial"/>
          <w:b/>
          <w:sz w:val="24"/>
          <w:szCs w:val="24"/>
        </w:rPr>
        <w:t xml:space="preserve">Rashodi za nabavu proizvedene dugotrajne imovine (42) </w:t>
      </w:r>
      <w:r w:rsidRPr="00F30C25">
        <w:rPr>
          <w:rFonts w:ascii="Arial" w:hAnsi="Arial" w:cs="Arial"/>
          <w:sz w:val="24"/>
          <w:szCs w:val="24"/>
        </w:rPr>
        <w:t xml:space="preserve">– planirana su u iznosu od </w:t>
      </w:r>
      <w:r w:rsidR="00E1724C">
        <w:rPr>
          <w:rFonts w:ascii="Arial" w:hAnsi="Arial" w:cs="Arial"/>
          <w:sz w:val="24"/>
          <w:szCs w:val="24"/>
        </w:rPr>
        <w:t>41.101,00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što je za </w:t>
      </w:r>
      <w:r w:rsidR="00E1724C">
        <w:rPr>
          <w:rFonts w:ascii="Arial" w:hAnsi="Arial" w:cs="Arial"/>
          <w:sz w:val="24"/>
          <w:szCs w:val="24"/>
        </w:rPr>
        <w:t>16,66</w:t>
      </w:r>
      <w:r w:rsidRPr="00F30C25">
        <w:rPr>
          <w:rFonts w:ascii="Arial" w:hAnsi="Arial" w:cs="Arial"/>
          <w:sz w:val="24"/>
          <w:szCs w:val="24"/>
        </w:rPr>
        <w:t>% posto više u odnosu na plan za 202</w:t>
      </w:r>
      <w:r w:rsidR="00E1724C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godinu. </w:t>
      </w:r>
      <w:r w:rsidR="004375B1">
        <w:rPr>
          <w:rFonts w:ascii="Arial" w:hAnsi="Arial" w:cs="Arial"/>
          <w:sz w:val="24"/>
          <w:szCs w:val="24"/>
        </w:rPr>
        <w:t xml:space="preserve">U planu je </w:t>
      </w:r>
      <w:r w:rsidR="004375B1" w:rsidRPr="004375B1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revitalizacija </w:t>
      </w:r>
      <w:r w:rsidR="004902C7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tehnološki zastarjelog </w:t>
      </w:r>
      <w:r w:rsidR="004375B1" w:rsidRPr="004375B1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sustava videonadzora Knjižnice, što onemogućava optimalno korištenje istog.</w:t>
      </w:r>
    </w:p>
    <w:p w14:paraId="7430CEF8" w14:textId="2C68327E" w:rsidR="0089468E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sz w:val="24"/>
          <w:szCs w:val="24"/>
        </w:rPr>
        <w:t>Rezultat poslovanja - manjak prihoda</w:t>
      </w:r>
      <w:r w:rsidRPr="00F30C25">
        <w:rPr>
          <w:rFonts w:ascii="Arial" w:hAnsi="Arial" w:cs="Arial"/>
          <w:sz w:val="24"/>
          <w:szCs w:val="24"/>
        </w:rPr>
        <w:t xml:space="preserve"> ostvaren u 202</w:t>
      </w:r>
      <w:r w:rsidR="00E1724C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 xml:space="preserve">. godini iznosi </w:t>
      </w:r>
      <w:r w:rsidR="00E1724C">
        <w:rPr>
          <w:rFonts w:ascii="Arial" w:hAnsi="Arial" w:cs="Arial"/>
          <w:sz w:val="24"/>
          <w:szCs w:val="24"/>
        </w:rPr>
        <w:t>9.019,00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>, a odnosi se na plaću i na neplaćene račune do 31.12. 202</w:t>
      </w:r>
      <w:r w:rsidR="00E1724C">
        <w:rPr>
          <w:rFonts w:ascii="Arial" w:hAnsi="Arial" w:cs="Arial"/>
          <w:sz w:val="24"/>
          <w:szCs w:val="24"/>
        </w:rPr>
        <w:t>4</w:t>
      </w:r>
      <w:r w:rsidRPr="00F30C25">
        <w:rPr>
          <w:rFonts w:ascii="Arial" w:hAnsi="Arial" w:cs="Arial"/>
          <w:sz w:val="24"/>
          <w:szCs w:val="24"/>
        </w:rPr>
        <w:t>. iz nadležnog proračuna.</w:t>
      </w:r>
    </w:p>
    <w:p w14:paraId="53B5E79F" w14:textId="77777777" w:rsidR="00CD1E6D" w:rsidRPr="00F30C25" w:rsidRDefault="00CD1E6D" w:rsidP="0089468E">
      <w:pPr>
        <w:jc w:val="both"/>
        <w:rPr>
          <w:rFonts w:ascii="Arial" w:hAnsi="Arial" w:cs="Arial"/>
          <w:sz w:val="24"/>
          <w:szCs w:val="24"/>
        </w:rPr>
      </w:pPr>
    </w:p>
    <w:p w14:paraId="052C61F0" w14:textId="77777777" w:rsidR="0089468E" w:rsidRPr="00F30C25" w:rsidRDefault="0089468E" w:rsidP="0089468E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30C25">
        <w:rPr>
          <w:rFonts w:ascii="Arial" w:hAnsi="Arial" w:cs="Arial"/>
          <w:b/>
          <w:u w:val="single"/>
        </w:rPr>
        <w:t>PREMA IZVORIMA FINANCIRANJA</w:t>
      </w:r>
    </w:p>
    <w:p w14:paraId="12B5DB74" w14:textId="77777777" w:rsidR="0089468E" w:rsidRPr="00F30C25" w:rsidRDefault="0089468E" w:rsidP="0089468E">
      <w:pPr>
        <w:pStyle w:val="Odlomakpopisa"/>
        <w:jc w:val="both"/>
        <w:rPr>
          <w:rFonts w:ascii="Arial" w:hAnsi="Arial" w:cs="Arial"/>
          <w:b/>
          <w:color w:val="FF0000"/>
        </w:rPr>
      </w:pPr>
    </w:p>
    <w:p w14:paraId="65B0AB82" w14:textId="28C3D2C4" w:rsidR="0089468E" w:rsidRPr="004902C7" w:rsidRDefault="0089468E" w:rsidP="0089468E">
      <w:pPr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>Povećanje ukupnog iznosa planiranih sredstava za 202</w:t>
      </w:r>
      <w:r w:rsidR="00225634">
        <w:rPr>
          <w:rFonts w:ascii="Arial" w:hAnsi="Arial" w:cs="Arial"/>
          <w:sz w:val="24"/>
          <w:szCs w:val="24"/>
        </w:rPr>
        <w:t>5</w:t>
      </w:r>
      <w:r w:rsidRPr="00F30C25">
        <w:rPr>
          <w:rFonts w:ascii="Arial" w:hAnsi="Arial" w:cs="Arial"/>
          <w:sz w:val="24"/>
          <w:szCs w:val="24"/>
        </w:rPr>
        <w:t xml:space="preserve">. godinu nastalo je zbog povećanja vlastitih prihoda u iznosu od </w:t>
      </w:r>
      <w:r w:rsidR="00225634">
        <w:rPr>
          <w:rFonts w:ascii="Arial" w:hAnsi="Arial" w:cs="Arial"/>
          <w:sz w:val="24"/>
          <w:szCs w:val="24"/>
        </w:rPr>
        <w:t>5.734,00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225634">
        <w:rPr>
          <w:rFonts w:ascii="Arial" w:hAnsi="Arial" w:cs="Arial"/>
          <w:sz w:val="24"/>
          <w:szCs w:val="24"/>
        </w:rPr>
        <w:t>191,</w:t>
      </w:r>
      <w:r w:rsidR="00CD1E6D">
        <w:rPr>
          <w:rFonts w:ascii="Arial" w:hAnsi="Arial" w:cs="Arial"/>
          <w:sz w:val="24"/>
          <w:szCs w:val="24"/>
        </w:rPr>
        <w:t>1</w:t>
      </w:r>
      <w:r w:rsidR="00225634">
        <w:rPr>
          <w:rFonts w:ascii="Arial" w:hAnsi="Arial" w:cs="Arial"/>
          <w:sz w:val="24"/>
          <w:szCs w:val="24"/>
        </w:rPr>
        <w:t>3</w:t>
      </w:r>
      <w:r w:rsidRPr="00F30C25">
        <w:rPr>
          <w:rFonts w:ascii="Arial" w:hAnsi="Arial" w:cs="Arial"/>
          <w:sz w:val="24"/>
          <w:szCs w:val="24"/>
        </w:rPr>
        <w:t xml:space="preserve">%), prihoda za posebne namjene u iznosu od </w:t>
      </w:r>
      <w:r w:rsidR="00225634">
        <w:rPr>
          <w:rFonts w:ascii="Arial" w:hAnsi="Arial" w:cs="Arial"/>
          <w:sz w:val="24"/>
          <w:szCs w:val="24"/>
        </w:rPr>
        <w:t>7.261,00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225634">
        <w:rPr>
          <w:rFonts w:ascii="Arial" w:hAnsi="Arial" w:cs="Arial"/>
          <w:sz w:val="24"/>
          <w:szCs w:val="24"/>
        </w:rPr>
        <w:t>46,40</w:t>
      </w:r>
      <w:r w:rsidRPr="00F30C25">
        <w:rPr>
          <w:rFonts w:ascii="Arial" w:hAnsi="Arial" w:cs="Arial"/>
          <w:sz w:val="24"/>
          <w:szCs w:val="24"/>
        </w:rPr>
        <w:t>%),</w:t>
      </w:r>
      <w:r w:rsidR="00CD1E6D">
        <w:rPr>
          <w:rFonts w:ascii="Arial" w:hAnsi="Arial" w:cs="Arial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općih prihoda i primitaka u iznosu od </w:t>
      </w:r>
      <w:r w:rsidR="00225634">
        <w:rPr>
          <w:rFonts w:ascii="Arial" w:hAnsi="Arial" w:cs="Arial"/>
          <w:sz w:val="24"/>
          <w:szCs w:val="24"/>
        </w:rPr>
        <w:t>9.719,00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(</w:t>
      </w:r>
      <w:r w:rsidR="00CD1E6D">
        <w:rPr>
          <w:rFonts w:ascii="Arial" w:hAnsi="Arial" w:cs="Arial"/>
          <w:sz w:val="24"/>
          <w:szCs w:val="24"/>
        </w:rPr>
        <w:t>4,89</w:t>
      </w:r>
      <w:r w:rsidRPr="00F30C25">
        <w:rPr>
          <w:rFonts w:ascii="Arial" w:hAnsi="Arial" w:cs="Arial"/>
          <w:sz w:val="24"/>
          <w:szCs w:val="24"/>
        </w:rPr>
        <w:t>%),</w:t>
      </w:r>
      <w:r w:rsidR="00CD1E6D">
        <w:rPr>
          <w:rFonts w:ascii="Arial" w:hAnsi="Arial" w:cs="Arial"/>
          <w:sz w:val="24"/>
          <w:szCs w:val="24"/>
        </w:rPr>
        <w:t xml:space="preserve"> prihoda od nefinancijske imovine u iznosu od 338,00 eura (112,67%)</w:t>
      </w:r>
      <w:r w:rsidRPr="00F30C25">
        <w:rPr>
          <w:rFonts w:ascii="Arial" w:hAnsi="Arial" w:cs="Arial"/>
          <w:sz w:val="24"/>
          <w:szCs w:val="24"/>
        </w:rPr>
        <w:t xml:space="preserve"> te smanjenja pomoći u iznosu od </w:t>
      </w:r>
      <w:r w:rsidR="00225634">
        <w:rPr>
          <w:rFonts w:ascii="Arial" w:hAnsi="Arial" w:cs="Arial"/>
          <w:sz w:val="24"/>
          <w:szCs w:val="24"/>
        </w:rPr>
        <w:t>61,00</w:t>
      </w:r>
      <w:r w:rsidRPr="00F3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4902C7">
        <w:rPr>
          <w:rFonts w:ascii="Arial" w:hAnsi="Arial" w:cs="Arial"/>
          <w:sz w:val="24"/>
          <w:szCs w:val="24"/>
        </w:rPr>
        <w:t xml:space="preserve">        </w:t>
      </w:r>
      <w:r w:rsidRPr="00F30C25">
        <w:rPr>
          <w:rFonts w:ascii="Arial" w:hAnsi="Arial" w:cs="Arial"/>
          <w:sz w:val="24"/>
          <w:szCs w:val="24"/>
        </w:rPr>
        <w:t>(</w:t>
      </w:r>
      <w:r w:rsidR="00CD1E6D">
        <w:rPr>
          <w:rFonts w:ascii="Arial" w:hAnsi="Arial" w:cs="Arial"/>
          <w:sz w:val="24"/>
          <w:szCs w:val="24"/>
        </w:rPr>
        <w:t>-0,20</w:t>
      </w:r>
      <w:r w:rsidRPr="00F30C25">
        <w:rPr>
          <w:rFonts w:ascii="Arial" w:hAnsi="Arial" w:cs="Arial"/>
          <w:sz w:val="24"/>
          <w:szCs w:val="24"/>
        </w:rPr>
        <w:t>%) prema sljedećim izvorima financiranja:</w:t>
      </w:r>
    </w:p>
    <w:p w14:paraId="45B0872C" w14:textId="3557776B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1.1.001 </w:t>
      </w:r>
      <w:r w:rsidRPr="004902C7">
        <w:rPr>
          <w:rFonts w:ascii="Arial" w:hAnsi="Arial" w:cs="Arial"/>
          <w:sz w:val="24"/>
          <w:szCs w:val="24"/>
        </w:rPr>
        <w:t xml:space="preserve">– iz općih prihoda i primitaka predlaže se uvećanje u iznosu od </w:t>
      </w:r>
      <w:r w:rsidR="00EE7888" w:rsidRPr="004902C7">
        <w:rPr>
          <w:rFonts w:ascii="Arial" w:hAnsi="Arial" w:cs="Arial"/>
          <w:sz w:val="24"/>
          <w:szCs w:val="24"/>
        </w:rPr>
        <w:t>9.719,00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CD1E6D" w:rsidRPr="004902C7">
        <w:rPr>
          <w:rFonts w:ascii="Arial" w:hAnsi="Arial" w:cs="Arial"/>
          <w:sz w:val="24"/>
          <w:szCs w:val="24"/>
        </w:rPr>
        <w:t>4,89</w:t>
      </w:r>
      <w:r w:rsidRPr="004902C7">
        <w:rPr>
          <w:rFonts w:ascii="Arial" w:hAnsi="Arial" w:cs="Arial"/>
          <w:sz w:val="24"/>
          <w:szCs w:val="24"/>
        </w:rPr>
        <w:t>%).</w:t>
      </w:r>
    </w:p>
    <w:p w14:paraId="203E80DF" w14:textId="713B0BDF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sz w:val="24"/>
          <w:szCs w:val="24"/>
        </w:rPr>
      </w:pPr>
      <w:bookmarkStart w:id="2" w:name="_Hlk135039873"/>
      <w:r w:rsidRPr="004902C7">
        <w:rPr>
          <w:rFonts w:ascii="Arial" w:hAnsi="Arial" w:cs="Arial"/>
          <w:sz w:val="24"/>
          <w:szCs w:val="24"/>
        </w:rPr>
        <w:t>Povećanje se odnosi na naplatu prihoda za plaćene obveze, čime će se pokriti manjak prihoda poslovanja na kontu 922210 na izvoru 1.1.001.</w:t>
      </w:r>
      <w:r w:rsidR="00CD1E6D" w:rsidRPr="004902C7">
        <w:rPr>
          <w:rFonts w:ascii="Arial" w:hAnsi="Arial" w:cs="Arial"/>
          <w:sz w:val="24"/>
          <w:szCs w:val="24"/>
        </w:rPr>
        <w:t xml:space="preserve">te </w:t>
      </w:r>
      <w:r w:rsidRPr="004902C7">
        <w:rPr>
          <w:rFonts w:ascii="Arial" w:hAnsi="Arial" w:cs="Arial"/>
          <w:sz w:val="24"/>
          <w:szCs w:val="24"/>
        </w:rPr>
        <w:t xml:space="preserve">na uvećanje prihoda za rashode za zaposlene </w:t>
      </w:r>
      <w:bookmarkEnd w:id="2"/>
      <w:r w:rsidR="00CD1E6D" w:rsidRPr="004902C7">
        <w:rPr>
          <w:rFonts w:ascii="Arial" w:hAnsi="Arial" w:cs="Arial"/>
          <w:sz w:val="24"/>
          <w:szCs w:val="24"/>
        </w:rPr>
        <w:t xml:space="preserve">zbog planiranja zapošljavanja </w:t>
      </w:r>
      <w:r w:rsidR="004902C7">
        <w:rPr>
          <w:rFonts w:ascii="Arial" w:hAnsi="Arial" w:cs="Arial"/>
          <w:sz w:val="24"/>
          <w:szCs w:val="24"/>
        </w:rPr>
        <w:t>jednog stručnog djelatnika knjižničara na upražnjeno radno mjesto</w:t>
      </w:r>
      <w:r w:rsidR="00CD1E6D" w:rsidRPr="004902C7">
        <w:rPr>
          <w:rFonts w:ascii="Arial" w:hAnsi="Arial" w:cs="Arial"/>
          <w:sz w:val="24"/>
          <w:szCs w:val="24"/>
        </w:rPr>
        <w:t>.</w:t>
      </w:r>
    </w:p>
    <w:p w14:paraId="18E2B558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sz w:val="24"/>
          <w:szCs w:val="24"/>
        </w:rPr>
      </w:pPr>
    </w:p>
    <w:p w14:paraId="4C53ABA3" w14:textId="4BEC177B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3.9.000001 </w:t>
      </w:r>
      <w:r w:rsidRPr="004902C7">
        <w:rPr>
          <w:rFonts w:ascii="Arial" w:hAnsi="Arial" w:cs="Arial"/>
          <w:sz w:val="24"/>
          <w:szCs w:val="24"/>
        </w:rPr>
        <w:t>– povećanje u iznosu od</w:t>
      </w:r>
      <w:r w:rsidR="00CD1E6D" w:rsidRPr="004902C7">
        <w:rPr>
          <w:rFonts w:ascii="Arial" w:hAnsi="Arial" w:cs="Arial"/>
          <w:sz w:val="24"/>
          <w:szCs w:val="24"/>
        </w:rPr>
        <w:t xml:space="preserve"> 3.000,00 eura odnosi se na </w:t>
      </w:r>
      <w:r w:rsidR="00E942C7" w:rsidRPr="004902C7">
        <w:rPr>
          <w:rFonts w:ascii="Arial" w:hAnsi="Arial" w:cs="Arial"/>
          <w:sz w:val="24"/>
          <w:szCs w:val="24"/>
        </w:rPr>
        <w:t>povećanje prihoda za najam polivalentne dvorane te povećanje u iznosu od</w:t>
      </w:r>
      <w:r w:rsidRPr="004902C7">
        <w:rPr>
          <w:rFonts w:ascii="Arial" w:hAnsi="Arial" w:cs="Arial"/>
          <w:sz w:val="24"/>
          <w:szCs w:val="24"/>
        </w:rPr>
        <w:t xml:space="preserve"> </w:t>
      </w:r>
      <w:r w:rsidR="00E942C7" w:rsidRPr="004902C7">
        <w:rPr>
          <w:rFonts w:ascii="Arial" w:hAnsi="Arial" w:cs="Arial"/>
          <w:sz w:val="24"/>
          <w:szCs w:val="24"/>
        </w:rPr>
        <w:t>2.734,00</w:t>
      </w:r>
      <w:r w:rsidRPr="004902C7">
        <w:rPr>
          <w:rFonts w:ascii="Arial" w:hAnsi="Arial" w:cs="Arial"/>
          <w:sz w:val="24"/>
          <w:szCs w:val="24"/>
        </w:rPr>
        <w:t xml:space="preserve"> eura (70,60%) </w:t>
      </w:r>
      <w:bookmarkStart w:id="3" w:name="_Hlk134790938"/>
      <w:r w:rsidRPr="004902C7">
        <w:rPr>
          <w:rFonts w:ascii="Arial" w:hAnsi="Arial" w:cs="Arial"/>
          <w:sz w:val="24"/>
          <w:szCs w:val="24"/>
        </w:rPr>
        <w:t>odnosi se na višak vlastitih sredstva koji je  prema Odluci o raspodjeli rezultata za 202</w:t>
      </w:r>
      <w:r w:rsidR="00E942C7" w:rsidRPr="004902C7">
        <w:rPr>
          <w:rFonts w:ascii="Arial" w:hAnsi="Arial" w:cs="Arial"/>
          <w:sz w:val="24"/>
          <w:szCs w:val="24"/>
        </w:rPr>
        <w:t>4</w:t>
      </w:r>
      <w:r w:rsidRPr="004902C7">
        <w:rPr>
          <w:rFonts w:ascii="Arial" w:hAnsi="Arial" w:cs="Arial"/>
          <w:sz w:val="24"/>
          <w:szCs w:val="24"/>
        </w:rPr>
        <w:t>.g. raspoređen na razne programe Knjižnice, za nabavu opreme za potrebe polivalentne dvorane, te za potrebe redovne knjižnične djelatnosti.</w:t>
      </w:r>
    </w:p>
    <w:bookmarkEnd w:id="3"/>
    <w:p w14:paraId="40EC6EAC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89E3" w14:textId="14311D6A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4.9.000001 </w:t>
      </w:r>
      <w:r w:rsidRPr="004902C7">
        <w:rPr>
          <w:rFonts w:ascii="Arial" w:hAnsi="Arial" w:cs="Arial"/>
          <w:sz w:val="24"/>
          <w:szCs w:val="24"/>
        </w:rPr>
        <w:t>–</w:t>
      </w:r>
      <w:r w:rsidRPr="004902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02C7">
        <w:rPr>
          <w:rFonts w:ascii="Arial" w:hAnsi="Arial" w:cs="Arial"/>
          <w:sz w:val="24"/>
          <w:szCs w:val="24"/>
        </w:rPr>
        <w:t xml:space="preserve">povećanje u iznosu od </w:t>
      </w:r>
      <w:r w:rsidR="00E942C7" w:rsidRPr="004902C7">
        <w:rPr>
          <w:rFonts w:ascii="Arial" w:hAnsi="Arial" w:cs="Arial"/>
          <w:sz w:val="24"/>
          <w:szCs w:val="24"/>
        </w:rPr>
        <w:t>1.000,00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E942C7" w:rsidRPr="004902C7">
        <w:rPr>
          <w:rFonts w:ascii="Arial" w:hAnsi="Arial" w:cs="Arial"/>
          <w:sz w:val="24"/>
          <w:szCs w:val="24"/>
        </w:rPr>
        <w:t>7,69</w:t>
      </w:r>
      <w:r w:rsidRPr="004902C7">
        <w:rPr>
          <w:rFonts w:ascii="Arial" w:hAnsi="Arial" w:cs="Arial"/>
          <w:sz w:val="24"/>
          <w:szCs w:val="24"/>
        </w:rPr>
        <w:t xml:space="preserve">%) </w:t>
      </w:r>
      <w:bookmarkStart w:id="4" w:name="_Hlk134792702"/>
      <w:r w:rsidRPr="004902C7">
        <w:rPr>
          <w:rFonts w:ascii="Arial" w:hAnsi="Arial" w:cs="Arial"/>
          <w:sz w:val="24"/>
          <w:szCs w:val="24"/>
        </w:rPr>
        <w:t xml:space="preserve">odnosi se na </w:t>
      </w:r>
      <w:r w:rsidR="00E942C7" w:rsidRPr="004902C7">
        <w:rPr>
          <w:rFonts w:ascii="Arial" w:hAnsi="Arial" w:cs="Arial"/>
          <w:sz w:val="24"/>
          <w:szCs w:val="24"/>
        </w:rPr>
        <w:t xml:space="preserve"> povećanje prihoda od naplaćenih članarina i ostalih administrativnih pristojbi te na </w:t>
      </w:r>
      <w:r w:rsidRPr="004902C7">
        <w:rPr>
          <w:rFonts w:ascii="Arial" w:hAnsi="Arial" w:cs="Arial"/>
          <w:sz w:val="24"/>
          <w:szCs w:val="24"/>
        </w:rPr>
        <w:t>višak namjenskih sredstva</w:t>
      </w:r>
      <w:r w:rsidR="00E942C7" w:rsidRPr="004902C7">
        <w:rPr>
          <w:rFonts w:ascii="Arial" w:hAnsi="Arial" w:cs="Arial"/>
          <w:sz w:val="24"/>
          <w:szCs w:val="24"/>
        </w:rPr>
        <w:t xml:space="preserve"> u iznosu od 8.911,00 eura</w:t>
      </w:r>
      <w:r w:rsidRPr="004902C7">
        <w:rPr>
          <w:rFonts w:ascii="Arial" w:hAnsi="Arial" w:cs="Arial"/>
          <w:sz w:val="24"/>
          <w:szCs w:val="24"/>
        </w:rPr>
        <w:t xml:space="preserve"> koji je prema Odluci o </w:t>
      </w:r>
      <w:r w:rsidRPr="004902C7">
        <w:rPr>
          <w:rFonts w:ascii="Arial" w:hAnsi="Arial" w:cs="Arial"/>
          <w:sz w:val="24"/>
          <w:szCs w:val="24"/>
        </w:rPr>
        <w:lastRenderedPageBreak/>
        <w:t>raspodjeli rezultata za 202</w:t>
      </w:r>
      <w:r w:rsidR="00E942C7" w:rsidRPr="004902C7">
        <w:rPr>
          <w:rFonts w:ascii="Arial" w:hAnsi="Arial" w:cs="Arial"/>
          <w:sz w:val="24"/>
          <w:szCs w:val="24"/>
        </w:rPr>
        <w:t>4</w:t>
      </w:r>
      <w:r w:rsidRPr="004902C7">
        <w:rPr>
          <w:rFonts w:ascii="Arial" w:hAnsi="Arial" w:cs="Arial"/>
          <w:sz w:val="24"/>
          <w:szCs w:val="24"/>
        </w:rPr>
        <w:t xml:space="preserve">.g. </w:t>
      </w:r>
      <w:bookmarkEnd w:id="4"/>
      <w:r w:rsidRPr="004902C7">
        <w:rPr>
          <w:rFonts w:ascii="Arial" w:hAnsi="Arial" w:cs="Arial"/>
          <w:sz w:val="24"/>
          <w:szCs w:val="24"/>
        </w:rPr>
        <w:t>raspoređen na razne redovne programe i kulturne manifestacije Knjižnice, te za podmirenje planiranih troškova u okviru redovne knjižnične djelatnosti.</w:t>
      </w:r>
    </w:p>
    <w:p w14:paraId="4ADC954B" w14:textId="77777777" w:rsidR="0089468E" w:rsidRPr="004902C7" w:rsidRDefault="0089468E" w:rsidP="0089468E">
      <w:pPr>
        <w:pStyle w:val="Odlomakpopisa"/>
        <w:ind w:left="786"/>
        <w:rPr>
          <w:rFonts w:ascii="Arial" w:hAnsi="Arial" w:cs="Arial"/>
          <w:sz w:val="24"/>
          <w:szCs w:val="24"/>
        </w:rPr>
      </w:pPr>
    </w:p>
    <w:p w14:paraId="049CC636" w14:textId="46182666" w:rsidR="0089468E" w:rsidRPr="004902C7" w:rsidRDefault="0089468E" w:rsidP="00C876B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Izvor 5.9.000001</w:t>
      </w:r>
      <w:r w:rsidRPr="004902C7">
        <w:rPr>
          <w:rFonts w:ascii="Arial" w:hAnsi="Arial" w:cs="Arial"/>
          <w:sz w:val="24"/>
          <w:szCs w:val="24"/>
        </w:rPr>
        <w:t xml:space="preserve"> - smanjenje u iznosu od </w:t>
      </w:r>
      <w:r w:rsidR="00E942C7" w:rsidRPr="004902C7">
        <w:rPr>
          <w:rFonts w:ascii="Arial" w:hAnsi="Arial" w:cs="Arial"/>
          <w:sz w:val="24"/>
          <w:szCs w:val="24"/>
        </w:rPr>
        <w:t xml:space="preserve">700,00 </w:t>
      </w:r>
      <w:r w:rsidRPr="004902C7">
        <w:rPr>
          <w:rFonts w:ascii="Arial" w:hAnsi="Arial" w:cs="Arial"/>
          <w:sz w:val="24"/>
          <w:szCs w:val="24"/>
        </w:rPr>
        <w:t>eura (</w:t>
      </w:r>
      <w:r w:rsidR="00E942C7" w:rsidRPr="004902C7">
        <w:rPr>
          <w:rFonts w:ascii="Arial" w:hAnsi="Arial" w:cs="Arial"/>
          <w:sz w:val="24"/>
          <w:szCs w:val="24"/>
        </w:rPr>
        <w:t>-2,34</w:t>
      </w:r>
      <w:r w:rsidRPr="004902C7">
        <w:rPr>
          <w:rFonts w:ascii="Arial" w:hAnsi="Arial" w:cs="Arial"/>
          <w:sz w:val="24"/>
          <w:szCs w:val="24"/>
        </w:rPr>
        <w:t xml:space="preserve">%) odnosi se na financiranje programa knjižnične djelatnosti odobrenih putem Javnog poziva Ministarstva kulture i medija Republike Hrvatske, odnosno na financiranje redovne nabave knjižnične građe te akcije i manifestacije u knjižnici. </w:t>
      </w:r>
    </w:p>
    <w:p w14:paraId="0D6CB161" w14:textId="77777777" w:rsidR="0089468E" w:rsidRPr="004902C7" w:rsidRDefault="0089468E" w:rsidP="0089468E">
      <w:pPr>
        <w:pStyle w:val="Odlomakpopis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1DDD8CB7" w14:textId="4A3B354C" w:rsidR="0089468E" w:rsidRPr="004902C7" w:rsidRDefault="0089468E" w:rsidP="0089468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Izvor 7.9.000002 </w:t>
      </w:r>
      <w:r w:rsidRPr="004902C7">
        <w:rPr>
          <w:rFonts w:ascii="Arial" w:hAnsi="Arial" w:cs="Arial"/>
          <w:sz w:val="24"/>
          <w:szCs w:val="24"/>
        </w:rPr>
        <w:t xml:space="preserve">– povećanje u iznosu od </w:t>
      </w:r>
      <w:r w:rsidR="00C876BC" w:rsidRPr="004902C7">
        <w:rPr>
          <w:rFonts w:ascii="Arial" w:hAnsi="Arial" w:cs="Arial"/>
          <w:sz w:val="24"/>
          <w:szCs w:val="24"/>
        </w:rPr>
        <w:t>338,00</w:t>
      </w:r>
      <w:r w:rsidRPr="004902C7">
        <w:rPr>
          <w:rFonts w:ascii="Arial" w:hAnsi="Arial" w:cs="Arial"/>
          <w:sz w:val="24"/>
          <w:szCs w:val="24"/>
        </w:rPr>
        <w:t xml:space="preserve"> eura (12</w:t>
      </w:r>
      <w:r w:rsidR="004902C7" w:rsidRPr="004902C7">
        <w:rPr>
          <w:rFonts w:ascii="Arial" w:hAnsi="Arial" w:cs="Arial"/>
          <w:sz w:val="24"/>
          <w:szCs w:val="24"/>
        </w:rPr>
        <w:t>,</w:t>
      </w:r>
      <w:r w:rsidRPr="004902C7">
        <w:rPr>
          <w:rFonts w:ascii="Arial" w:hAnsi="Arial" w:cs="Arial"/>
          <w:sz w:val="24"/>
          <w:szCs w:val="24"/>
        </w:rPr>
        <w:t xml:space="preserve">67%) </w:t>
      </w:r>
      <w:bookmarkStart w:id="5" w:name="_Hlk203040478"/>
      <w:r w:rsidRPr="004902C7">
        <w:rPr>
          <w:rFonts w:ascii="Arial" w:hAnsi="Arial" w:cs="Arial"/>
          <w:sz w:val="24"/>
          <w:szCs w:val="24"/>
        </w:rPr>
        <w:t xml:space="preserve">odnosi se na višak prihoda od nefinancijske imovine </w:t>
      </w:r>
      <w:bookmarkStart w:id="6" w:name="_Hlk135044994"/>
      <w:r w:rsidRPr="004902C7">
        <w:rPr>
          <w:rFonts w:ascii="Arial" w:hAnsi="Arial" w:cs="Arial"/>
          <w:sz w:val="24"/>
          <w:szCs w:val="24"/>
        </w:rPr>
        <w:t xml:space="preserve">koji je </w:t>
      </w:r>
      <w:bookmarkStart w:id="7" w:name="_Hlk203040382"/>
      <w:bookmarkEnd w:id="5"/>
      <w:r w:rsidRPr="004902C7">
        <w:rPr>
          <w:rFonts w:ascii="Arial" w:hAnsi="Arial" w:cs="Arial"/>
          <w:sz w:val="24"/>
          <w:szCs w:val="24"/>
        </w:rPr>
        <w:t xml:space="preserve">prema Odluci o raspodjeli rezultata za </w:t>
      </w:r>
      <w:r w:rsidR="00C876BC" w:rsidRPr="004902C7">
        <w:rPr>
          <w:rFonts w:ascii="Arial" w:hAnsi="Arial" w:cs="Arial"/>
          <w:sz w:val="24"/>
          <w:szCs w:val="24"/>
        </w:rPr>
        <w:t>2024.</w:t>
      </w:r>
      <w:r w:rsidRPr="004902C7">
        <w:rPr>
          <w:rFonts w:ascii="Arial" w:hAnsi="Arial" w:cs="Arial"/>
          <w:sz w:val="24"/>
          <w:szCs w:val="24"/>
        </w:rPr>
        <w:t xml:space="preserve">g. raspoređen za </w:t>
      </w:r>
      <w:bookmarkEnd w:id="6"/>
      <w:r w:rsidRPr="004902C7">
        <w:rPr>
          <w:rFonts w:ascii="Arial" w:hAnsi="Arial" w:cs="Arial"/>
          <w:sz w:val="24"/>
          <w:szCs w:val="24"/>
        </w:rPr>
        <w:t xml:space="preserve">nabavu </w:t>
      </w:r>
      <w:r w:rsidR="00C876BC" w:rsidRPr="004902C7">
        <w:rPr>
          <w:rFonts w:ascii="Arial" w:hAnsi="Arial" w:cs="Arial"/>
          <w:sz w:val="24"/>
          <w:szCs w:val="24"/>
        </w:rPr>
        <w:t>knjižnične građe.</w:t>
      </w:r>
      <w:bookmarkEnd w:id="7"/>
    </w:p>
    <w:p w14:paraId="327A3CD1" w14:textId="77777777" w:rsidR="004902C7" w:rsidRPr="004902C7" w:rsidRDefault="004902C7" w:rsidP="00490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4FB542F" w14:textId="4102382D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 w:rsidR="00B6061C">
        <w:rPr>
          <w:rFonts w:ascii="Arial" w:hAnsi="Arial"/>
          <w:noProof/>
        </w:rPr>
        <w:t>1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</w:t>
      </w:r>
      <w:r w:rsidRPr="00F30C25">
        <w:rPr>
          <w:rFonts w:ascii="Arial" w:hAnsi="Arial"/>
          <w:b/>
          <w:bCs/>
        </w:rPr>
        <w:t>Rekapitulacija prema izvorima financiranja – 202</w:t>
      </w:r>
      <w:r w:rsidR="00C876BC">
        <w:rPr>
          <w:rFonts w:ascii="Arial" w:hAnsi="Arial"/>
          <w:b/>
          <w:bCs/>
        </w:rPr>
        <w:t>5</w:t>
      </w:r>
      <w:r w:rsidRPr="00F30C25">
        <w:rPr>
          <w:rFonts w:ascii="Arial" w:hAnsi="Arial"/>
          <w:b/>
          <w:bCs/>
        </w:rPr>
        <w:t>. godina</w:t>
      </w:r>
    </w:p>
    <w:p w14:paraId="18D96C4A" w14:textId="77777777" w:rsidR="0089468E" w:rsidRPr="00F30C25" w:rsidRDefault="0089468E" w:rsidP="0089468E">
      <w:pPr>
        <w:pStyle w:val="Opisslike"/>
        <w:keepNext/>
        <w:rPr>
          <w:rFonts w:ascii="Arial" w:hAnsi="Arial"/>
          <w:b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1721"/>
        <w:gridCol w:w="1550"/>
        <w:gridCol w:w="1721"/>
        <w:gridCol w:w="1415"/>
      </w:tblGrid>
      <w:tr w:rsidR="0089468E" w:rsidRPr="00F30C25" w14:paraId="5A842E0C" w14:textId="77777777" w:rsidTr="00C876BC">
        <w:trPr>
          <w:trHeight w:val="61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4D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4BAF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Plan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14C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Razlika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F75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Novi plan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06D" w14:textId="77777777" w:rsidR="0089468E" w:rsidRPr="00F30C25" w:rsidRDefault="0089468E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 xml:space="preserve">Indeks </w:t>
            </w:r>
          </w:p>
        </w:tc>
      </w:tr>
      <w:tr w:rsidR="0089468E" w:rsidRPr="00F30C25" w14:paraId="430FFE1D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E7644B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1.1.001 OPĆI PRIHODI I PRIMICI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FF543C" w14:textId="26309A3E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198.655,00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4F441B" w14:textId="0E50EF85" w:rsidR="0089468E" w:rsidRPr="00F30C25" w:rsidRDefault="00C876BC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9.719,00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F4B67E" w14:textId="7FE1A883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208.374,00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09F530" w14:textId="7F457661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104,89</w:t>
            </w:r>
          </w:p>
        </w:tc>
      </w:tr>
      <w:tr w:rsidR="0089468E" w:rsidRPr="00F30C25" w14:paraId="473577E1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9489E8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3.9.000001 VLASTITI PRIHODI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7B6E48" w14:textId="718D3E47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42BAAA" w14:textId="48FA21C5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5.734,00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FFE4FF" w14:textId="2A1E0109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8,734,00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0F14A" w14:textId="7EB337A8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291,13</w:t>
            </w:r>
          </w:p>
        </w:tc>
      </w:tr>
      <w:tr w:rsidR="0089468E" w:rsidRPr="00F30C25" w14:paraId="52FD1343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4BDF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4.9.000001 PRIHODI ZA POSEBNE NAMJENE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894A9" w14:textId="41F48696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15.650,00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BC866" w14:textId="49551060" w:rsidR="0089468E" w:rsidRPr="00F30C25" w:rsidRDefault="00C876BC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7.261,00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3C2F4" w14:textId="4C08AAD6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22.911,00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CAD292" w14:textId="65A95A63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146,40</w:t>
            </w:r>
          </w:p>
        </w:tc>
      </w:tr>
      <w:tr w:rsidR="0089468E" w:rsidRPr="00F30C25" w14:paraId="475AB2C8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D8E4A7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5.9.000001 POMOĆI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C8C96A" w14:textId="293B6893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29.900,00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E3ACD2" w14:textId="6F3683B4" w:rsidR="0089468E" w:rsidRPr="00F30C25" w:rsidRDefault="00573AB4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-61,00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69A870" w14:textId="615786DE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29.839,00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6FBAB6" w14:textId="3CD43C2D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99,80</w:t>
            </w:r>
          </w:p>
        </w:tc>
      </w:tr>
      <w:tr w:rsidR="0089468E" w:rsidRPr="00F30C25" w14:paraId="4E72BADF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897440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6.9.000001 DONACIJE – PRIHODI KORISNIKA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DB409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0C25"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308F9D" w14:textId="05741E46" w:rsidR="0089468E" w:rsidRPr="00F30C25" w:rsidRDefault="00573AB4" w:rsidP="00C876BC">
            <w:pPr>
              <w:spacing w:line="256" w:lineRule="auto"/>
              <w:ind w:firstLineChars="100" w:firstLin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026BC6" w14:textId="65D71393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ED80CB" w14:textId="1BA3A021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9468E" w:rsidRPr="00F30C25" w14:paraId="03E8DDD0" w14:textId="77777777" w:rsidTr="00C876BC">
        <w:trPr>
          <w:trHeight w:val="255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7CFA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7.9.000002 PRIHODI OD NEFINANCIJSKE IMOVINE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64748" w14:textId="77777777" w:rsidR="0089468E" w:rsidRPr="00F30C25" w:rsidRDefault="0089468E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97A8A" w14:textId="25F8301B" w:rsidR="0089468E" w:rsidRPr="00F30C25" w:rsidRDefault="00573AB4" w:rsidP="00573AB4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6EAA65" w14:textId="37758E29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8BA940" w14:textId="09A883F5" w:rsidR="0089468E" w:rsidRPr="00F30C25" w:rsidRDefault="00573AB4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212,67</w:t>
            </w:r>
          </w:p>
        </w:tc>
      </w:tr>
      <w:tr w:rsidR="0089468E" w:rsidRPr="00F30C25" w14:paraId="4ECEF066" w14:textId="77777777" w:rsidTr="00C876BC">
        <w:trPr>
          <w:trHeight w:val="24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14B6" w14:textId="77777777" w:rsidR="0089468E" w:rsidRPr="00F30C25" w:rsidRDefault="0089468E" w:rsidP="00C876BC">
            <w:pPr>
              <w:spacing w:line="256" w:lineRule="auto"/>
              <w:ind w:firstLineChars="100" w:firstLine="24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3AAB" w14:textId="5852D6C3" w:rsidR="0089468E" w:rsidRPr="00F30C25" w:rsidRDefault="00573AB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A6F0" w14:textId="6AE0D952" w:rsidR="0089468E" w:rsidRPr="00F30C25" w:rsidRDefault="00573AB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22.991,00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FF7C" w14:textId="13DAB113" w:rsidR="0089468E" w:rsidRPr="00F30C25" w:rsidRDefault="00573AB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271.226,00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7A8" w14:textId="021C369D" w:rsidR="0089468E" w:rsidRPr="00F30C25" w:rsidRDefault="00573AB4" w:rsidP="00C876BC">
            <w:pPr>
              <w:spacing w:line="256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109,26</w:t>
            </w:r>
          </w:p>
        </w:tc>
      </w:tr>
    </w:tbl>
    <w:p w14:paraId="73E9695F" w14:textId="77777777" w:rsidR="0089468E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CBE9A4A" w14:textId="77777777" w:rsidR="004902C7" w:rsidRDefault="004902C7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C7C4610" w14:textId="77777777" w:rsidR="0089468E" w:rsidRPr="00F30C25" w:rsidRDefault="0089468E" w:rsidP="0089468E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F30C25">
        <w:rPr>
          <w:rFonts w:ascii="Arial" w:hAnsi="Arial" w:cs="Arial"/>
          <w:b/>
          <w:bCs/>
          <w:sz w:val="24"/>
          <w:szCs w:val="24"/>
        </w:rPr>
        <w:t>OBRAZLOŽENJE POSEBNOG D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30C25">
        <w:rPr>
          <w:rFonts w:ascii="Arial" w:hAnsi="Arial" w:cs="Arial"/>
          <w:b/>
          <w:bCs/>
          <w:sz w:val="24"/>
          <w:szCs w:val="24"/>
        </w:rPr>
        <w:t>JELA</w:t>
      </w:r>
    </w:p>
    <w:p w14:paraId="2698CB06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4EB17EA5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  <w:r w:rsidRPr="004C6A08">
        <w:rPr>
          <w:rFonts w:ascii="Arial" w:hAnsi="Arial" w:cs="Arial"/>
          <w:b/>
          <w:bCs/>
        </w:rPr>
        <w:t>OBRAZLOŽENJE PROGRAMA I AKTIVNOSTI</w:t>
      </w:r>
    </w:p>
    <w:p w14:paraId="0A545523" w14:textId="77777777" w:rsidR="0089468E" w:rsidRDefault="0089468E" w:rsidP="0089468E">
      <w:pPr>
        <w:pStyle w:val="Bezproreda"/>
        <w:jc w:val="both"/>
        <w:rPr>
          <w:rFonts w:ascii="Arial" w:hAnsi="Arial" w:cs="Arial"/>
          <w:b/>
          <w:bCs/>
        </w:rPr>
      </w:pPr>
    </w:p>
    <w:p w14:paraId="6052E758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>Zakonske i druge pravne osnove</w:t>
      </w:r>
    </w:p>
    <w:p w14:paraId="67820DAF" w14:textId="77777777" w:rsidR="0089468E" w:rsidRPr="004902C7" w:rsidRDefault="0089468E" w:rsidP="0089468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15CEA1A" w14:textId="63225C6A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lastRenderedPageBreak/>
        <w:t>Zakon o knjižnicama (NN 17/19, 98/19</w:t>
      </w:r>
      <w:r w:rsidR="004902C7">
        <w:rPr>
          <w:rFonts w:ascii="Arial" w:hAnsi="Arial" w:cs="Arial"/>
          <w:sz w:val="24"/>
          <w:szCs w:val="24"/>
        </w:rPr>
        <w:t>,</w:t>
      </w:r>
      <w:r w:rsidRPr="004C6A08">
        <w:rPr>
          <w:rFonts w:ascii="Arial" w:hAnsi="Arial" w:cs="Arial"/>
          <w:sz w:val="24"/>
          <w:szCs w:val="24"/>
        </w:rPr>
        <w:t xml:space="preserve"> 114/22</w:t>
      </w:r>
      <w:r w:rsidR="004902C7">
        <w:rPr>
          <w:rFonts w:ascii="Arial" w:hAnsi="Arial" w:cs="Arial"/>
          <w:sz w:val="24"/>
          <w:szCs w:val="24"/>
        </w:rPr>
        <w:t xml:space="preserve"> i 36/24</w:t>
      </w:r>
      <w:r w:rsidRPr="004C6A08">
        <w:rPr>
          <w:rFonts w:ascii="Arial" w:hAnsi="Arial" w:cs="Arial"/>
          <w:sz w:val="24"/>
          <w:szCs w:val="24"/>
        </w:rPr>
        <w:t xml:space="preserve">), Pravilnik o upisniku knjižnica (NN 78/20.), Standard za narodne knjižnice u Republici Hrvatskoj (NN 103/21), Pravilnik o uvjetima i načinu stjecanja stručnih zvanja u knjižničarskoj struci (NN107/21), Pravilnik o matičnoj djelatnosti i sustavu matičnih knjižnica Republici Hrvatskoj (NN 81/21), </w:t>
      </w:r>
      <w:r w:rsidR="002D5E26">
        <w:rPr>
          <w:rFonts w:ascii="Arial" w:hAnsi="Arial" w:cs="Arial"/>
          <w:sz w:val="24"/>
          <w:szCs w:val="24"/>
        </w:rPr>
        <w:t>Z</w:t>
      </w:r>
      <w:r w:rsidR="002D5E26" w:rsidRPr="002D5E26">
        <w:rPr>
          <w:rFonts w:ascii="Arial" w:hAnsi="Arial" w:cs="Arial"/>
          <w:sz w:val="24"/>
          <w:szCs w:val="24"/>
        </w:rPr>
        <w:t>akon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 w:rsidRPr="002D5E26">
        <w:rPr>
          <w:rFonts w:ascii="Arial" w:hAnsi="Arial" w:cs="Arial"/>
          <w:sz w:val="24"/>
          <w:szCs w:val="24"/>
        </w:rPr>
        <w:t>o kulturnim vijećima i financiranju javnih potreba u kulturi</w:t>
      </w:r>
      <w:r w:rsidR="002D5E26">
        <w:rPr>
          <w:rFonts w:ascii="Arial" w:hAnsi="Arial" w:cs="Arial"/>
          <w:sz w:val="24"/>
          <w:szCs w:val="24"/>
        </w:rPr>
        <w:t xml:space="preserve"> (83/22), </w:t>
      </w:r>
      <w:r w:rsidRPr="004C6A08">
        <w:rPr>
          <w:rFonts w:ascii="Arial" w:hAnsi="Arial" w:cs="Arial"/>
          <w:sz w:val="24"/>
          <w:szCs w:val="24"/>
        </w:rPr>
        <w:t xml:space="preserve">Pravilnik o zaštiti, reviziji i otpisu knjižnične građe (NN 27/23), Zakon o ustanovama (NN 76/93, NN 35/08), </w:t>
      </w:r>
      <w:bookmarkStart w:id="8" w:name="_Hlk146715942"/>
      <w:r w:rsidRPr="004C6A08">
        <w:rPr>
          <w:rFonts w:ascii="Arial" w:hAnsi="Arial" w:cs="Arial"/>
          <w:sz w:val="24"/>
          <w:szCs w:val="24"/>
        </w:rPr>
        <w:t xml:space="preserve">NN127/19 i </w:t>
      </w:r>
      <w:bookmarkEnd w:id="8"/>
      <w:r w:rsidRPr="004C6A08">
        <w:rPr>
          <w:rFonts w:ascii="Arial" w:hAnsi="Arial" w:cs="Arial"/>
          <w:sz w:val="24"/>
          <w:szCs w:val="24"/>
        </w:rPr>
        <w:t>NN151/22), Statut Gradske knjižnice Labin.</w:t>
      </w:r>
    </w:p>
    <w:p w14:paraId="248DBEF7" w14:textId="77777777" w:rsidR="0089468E" w:rsidRPr="004C6A08" w:rsidRDefault="0089468E" w:rsidP="0089468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36D9E0" w14:textId="266CB8B6" w:rsidR="0089468E" w:rsidRPr="004C6A08" w:rsidRDefault="0089468E" w:rsidP="0089468E">
      <w:pPr>
        <w:pStyle w:val="Bezproreda"/>
        <w:jc w:val="both"/>
        <w:rPr>
          <w:rFonts w:ascii="Arial" w:eastAsia="Times New Roman" w:hAnsi="Arial" w:cs="Arial"/>
          <w:sz w:val="24"/>
          <w:szCs w:val="24"/>
        </w:rPr>
      </w:pPr>
      <w:r w:rsidRPr="004C6A08">
        <w:rPr>
          <w:rFonts w:ascii="Arial" w:hAnsi="Arial" w:cs="Arial"/>
          <w:sz w:val="24"/>
          <w:szCs w:val="24"/>
        </w:rPr>
        <w:t xml:space="preserve">Poslovanje Gradske knjižnice Labin, u korelaciji </w:t>
      </w:r>
      <w:r w:rsidR="004902C7">
        <w:rPr>
          <w:rFonts w:ascii="Arial" w:hAnsi="Arial" w:cs="Arial"/>
          <w:sz w:val="24"/>
          <w:szCs w:val="24"/>
        </w:rPr>
        <w:t>s</w:t>
      </w:r>
      <w:r w:rsidRPr="004C6A08">
        <w:rPr>
          <w:rFonts w:ascii="Arial" w:hAnsi="Arial" w:cs="Arial"/>
          <w:sz w:val="24"/>
          <w:szCs w:val="24"/>
        </w:rPr>
        <w:t xml:space="preserve"> Financijskim planom, organizirano </w:t>
      </w:r>
      <w:r w:rsidR="004902C7">
        <w:rPr>
          <w:rFonts w:ascii="Arial" w:hAnsi="Arial" w:cs="Arial"/>
          <w:sz w:val="24"/>
          <w:szCs w:val="24"/>
        </w:rPr>
        <w:t xml:space="preserve">je </w:t>
      </w:r>
      <w:r w:rsidRPr="004C6A08">
        <w:rPr>
          <w:rFonts w:ascii="Arial" w:hAnsi="Arial" w:cs="Arial"/>
          <w:sz w:val="24"/>
          <w:szCs w:val="24"/>
        </w:rPr>
        <w:t>kroz osnovni program Promicanje kulture, s aktivnostima.</w:t>
      </w:r>
      <w:r w:rsidR="002D5E26">
        <w:rPr>
          <w:rFonts w:ascii="Arial" w:hAnsi="Arial" w:cs="Arial"/>
          <w:sz w:val="24"/>
          <w:szCs w:val="24"/>
        </w:rPr>
        <w:t xml:space="preserve"> </w:t>
      </w:r>
      <w:r w:rsidR="002D5E26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rijedlog I.</w:t>
      </w:r>
      <w:r w:rsidRPr="004C6A08">
        <w:rPr>
          <w:rFonts w:ascii="Arial" w:eastAsia="Times New Roman" w:hAnsi="Arial" w:cs="Arial"/>
          <w:sz w:val="24"/>
          <w:szCs w:val="24"/>
        </w:rPr>
        <w:t xml:space="preserve"> izmjen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i dopun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</w:t>
      </w:r>
      <w:r w:rsidRPr="004C6A08">
        <w:rPr>
          <w:rFonts w:ascii="Arial" w:eastAsia="Times New Roman" w:hAnsi="Arial" w:cs="Arial"/>
          <w:sz w:val="24"/>
          <w:szCs w:val="24"/>
        </w:rPr>
        <w:t xml:space="preserve">inancijskog plana proračunskog korisnika </w:t>
      </w:r>
      <w:r>
        <w:rPr>
          <w:rFonts w:ascii="Arial" w:eastAsia="Times New Roman" w:hAnsi="Arial" w:cs="Arial"/>
          <w:sz w:val="24"/>
          <w:szCs w:val="24"/>
        </w:rPr>
        <w:t>G</w:t>
      </w:r>
      <w:r w:rsidRPr="004C6A08">
        <w:rPr>
          <w:rFonts w:ascii="Arial" w:eastAsia="Times New Roman" w:hAnsi="Arial" w:cs="Arial"/>
          <w:sz w:val="24"/>
          <w:szCs w:val="24"/>
        </w:rPr>
        <w:t xml:space="preserve">radske knjižnice </w:t>
      </w:r>
      <w:r>
        <w:rPr>
          <w:rFonts w:ascii="Arial" w:eastAsia="Times New Roman" w:hAnsi="Arial" w:cs="Arial"/>
          <w:sz w:val="24"/>
          <w:szCs w:val="24"/>
        </w:rPr>
        <w:t>L</w:t>
      </w:r>
      <w:r w:rsidRPr="004C6A08">
        <w:rPr>
          <w:rFonts w:ascii="Arial" w:eastAsia="Times New Roman" w:hAnsi="Arial" w:cs="Arial"/>
          <w:sz w:val="24"/>
          <w:szCs w:val="24"/>
        </w:rPr>
        <w:t>abin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621E7">
        <w:rPr>
          <w:rFonts w:ascii="Arial" w:eastAsia="Times New Roman" w:hAnsi="Arial" w:cs="Arial"/>
          <w:sz w:val="24"/>
          <w:szCs w:val="24"/>
        </w:rPr>
        <w:t>2025</w:t>
      </w:r>
      <w:r w:rsidRPr="004C6A08">
        <w:rPr>
          <w:rFonts w:ascii="Arial" w:eastAsia="Times New Roman" w:hAnsi="Arial" w:cs="Arial"/>
          <w:sz w:val="24"/>
          <w:szCs w:val="24"/>
        </w:rPr>
        <w:t xml:space="preserve"> godine iznosi </w:t>
      </w:r>
      <w:r w:rsidR="001621E7">
        <w:rPr>
          <w:rFonts w:ascii="Arial" w:eastAsia="Times New Roman" w:hAnsi="Arial" w:cs="Arial"/>
          <w:sz w:val="24"/>
          <w:szCs w:val="24"/>
        </w:rPr>
        <w:t>271.226,00</w:t>
      </w:r>
      <w:r w:rsidRPr="004C6A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eura</w:t>
      </w:r>
      <w:r w:rsidRPr="004C6A08">
        <w:rPr>
          <w:rFonts w:ascii="Arial" w:eastAsia="Times New Roman" w:hAnsi="Arial" w:cs="Arial"/>
          <w:sz w:val="24"/>
          <w:szCs w:val="24"/>
        </w:rPr>
        <w:t>, a izrađen je uravnoteženjem prihoda i rashoda, u skladu s osnovnim programom Promicanja kulture i aktivnostima.</w:t>
      </w:r>
    </w:p>
    <w:p w14:paraId="5F51503F" w14:textId="77777777" w:rsidR="0089468E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D80740D" w14:textId="77777777" w:rsidR="0089468E" w:rsidRPr="004902C7" w:rsidRDefault="0089468E" w:rsidP="0089468E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 xml:space="preserve">U strukturi rashoda programske djelatnosti Knjižnice, a u skladu s povećanjem prihoda predlažu se sljedeće izmjene u programskoj aktivnosti Knjižnice:  </w:t>
      </w:r>
    </w:p>
    <w:p w14:paraId="53F0F787" w14:textId="271379A4" w:rsidR="0089468E" w:rsidRPr="004902C7" w:rsidRDefault="0089468E" w:rsidP="0089468E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Aktivnost: Financiranje redovne djelatnosti knjižnice - </w:t>
      </w:r>
      <w:r w:rsidRPr="004902C7">
        <w:rPr>
          <w:rFonts w:ascii="Arial" w:hAnsi="Arial" w:cs="Arial"/>
          <w:sz w:val="24"/>
          <w:szCs w:val="24"/>
        </w:rPr>
        <w:t xml:space="preserve">Predlaže se uvećanje u iznosu od </w:t>
      </w:r>
      <w:r w:rsidR="004E218C" w:rsidRPr="004902C7">
        <w:rPr>
          <w:rFonts w:ascii="Arial" w:hAnsi="Arial" w:cs="Arial"/>
          <w:sz w:val="24"/>
          <w:szCs w:val="24"/>
        </w:rPr>
        <w:t>18.913,00</w:t>
      </w:r>
      <w:r w:rsidRPr="004902C7">
        <w:rPr>
          <w:rFonts w:ascii="Arial" w:hAnsi="Arial" w:cs="Arial"/>
          <w:sz w:val="24"/>
          <w:szCs w:val="24"/>
        </w:rPr>
        <w:t xml:space="preserve"> eura (9,31%). Povećanja za rashode redovne djelatnosti odnose se na uvećanje rashoda za zaposlene i na uvećanje rashoda za </w:t>
      </w:r>
      <w:bookmarkStart w:id="9" w:name="_Hlk135040515"/>
      <w:r w:rsidRPr="004902C7">
        <w:rPr>
          <w:rFonts w:ascii="Arial" w:hAnsi="Arial" w:cs="Arial"/>
          <w:sz w:val="24"/>
          <w:szCs w:val="24"/>
        </w:rPr>
        <w:t>intelektualne i osobne usluge, uredsku opremu i namještaj, bankarske usluge i usluge platnog prometa, stručno usavršavanje zaposlenika te za materijal i dijelove za tekuće i investicijsko održavanje.</w:t>
      </w:r>
    </w:p>
    <w:p w14:paraId="5E54E9F5" w14:textId="77777777" w:rsidR="0089468E" w:rsidRPr="004902C7" w:rsidRDefault="0089468E" w:rsidP="0089468E">
      <w:pPr>
        <w:pStyle w:val="Odlomakpopisa"/>
        <w:ind w:left="502" w:right="-1"/>
        <w:jc w:val="both"/>
        <w:rPr>
          <w:rFonts w:ascii="Arial" w:hAnsi="Arial" w:cs="Arial"/>
          <w:sz w:val="24"/>
          <w:szCs w:val="24"/>
        </w:rPr>
      </w:pPr>
    </w:p>
    <w:p w14:paraId="7AA035C4" w14:textId="43497891" w:rsidR="0089468E" w:rsidRPr="00F36ABE" w:rsidRDefault="0089468E" w:rsidP="0089468E">
      <w:pPr>
        <w:pStyle w:val="Odlomakpopisa"/>
        <w:numPr>
          <w:ilvl w:val="0"/>
          <w:numId w:val="3"/>
        </w:numPr>
        <w:suppressAutoHyphens/>
        <w:spacing w:after="0" w:line="240" w:lineRule="auto"/>
        <w:ind w:left="502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4902C7">
        <w:rPr>
          <w:rFonts w:ascii="Arial" w:hAnsi="Arial" w:cs="Arial"/>
          <w:b/>
          <w:bCs/>
          <w:sz w:val="24"/>
          <w:szCs w:val="24"/>
        </w:rPr>
        <w:t xml:space="preserve">Aktivnost: Književni susreti i radionice </w:t>
      </w:r>
      <w:r w:rsidRPr="004902C7">
        <w:rPr>
          <w:rFonts w:ascii="Arial" w:hAnsi="Arial" w:cs="Arial"/>
          <w:sz w:val="24"/>
          <w:szCs w:val="24"/>
        </w:rPr>
        <w:t xml:space="preserve">- Predlaže se uvećanje u iznosu od </w:t>
      </w:r>
      <w:r w:rsidR="0023765D" w:rsidRPr="004902C7">
        <w:rPr>
          <w:rFonts w:ascii="Arial" w:hAnsi="Arial" w:cs="Arial"/>
          <w:sz w:val="24"/>
          <w:szCs w:val="24"/>
        </w:rPr>
        <w:t>3.740,00</w:t>
      </w:r>
      <w:r w:rsidRPr="004902C7">
        <w:rPr>
          <w:rFonts w:ascii="Arial" w:hAnsi="Arial" w:cs="Arial"/>
          <w:sz w:val="24"/>
          <w:szCs w:val="24"/>
        </w:rPr>
        <w:t xml:space="preserve"> eura (</w:t>
      </w:r>
      <w:r w:rsidR="0023765D" w:rsidRPr="004902C7">
        <w:rPr>
          <w:rFonts w:ascii="Arial" w:hAnsi="Arial" w:cs="Arial"/>
          <w:sz w:val="24"/>
          <w:szCs w:val="24"/>
        </w:rPr>
        <w:t>35,96</w:t>
      </w:r>
      <w:r w:rsidRPr="004902C7">
        <w:rPr>
          <w:rFonts w:ascii="Arial" w:hAnsi="Arial" w:cs="Arial"/>
          <w:sz w:val="24"/>
          <w:szCs w:val="24"/>
        </w:rPr>
        <w:t>%) na izvoru 3.9.000002 i Izvoru 4.9.000002 i odnosi se na viškove vlastitih i namjenskih sredstava iz različitih izvora prema Odluci o rasporedu rezultata za  202</w:t>
      </w:r>
      <w:r w:rsidR="0023765D" w:rsidRPr="004902C7">
        <w:rPr>
          <w:rFonts w:ascii="Arial" w:hAnsi="Arial" w:cs="Arial"/>
          <w:sz w:val="24"/>
          <w:szCs w:val="24"/>
        </w:rPr>
        <w:t>4</w:t>
      </w:r>
      <w:r w:rsidRPr="004902C7">
        <w:rPr>
          <w:rFonts w:ascii="Arial" w:hAnsi="Arial" w:cs="Arial"/>
          <w:sz w:val="24"/>
          <w:szCs w:val="24"/>
        </w:rPr>
        <w:t>.g.</w:t>
      </w:r>
    </w:p>
    <w:p w14:paraId="309D27F0" w14:textId="77777777" w:rsidR="00F36ABE" w:rsidRPr="00F36ABE" w:rsidRDefault="00F36ABE" w:rsidP="00F36ABE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31D988F" w14:textId="1D4E5754" w:rsidR="0089468E" w:rsidRPr="00F36ABE" w:rsidRDefault="0089468E" w:rsidP="00F36ABE">
      <w:pPr>
        <w:pStyle w:val="Odlomakpopisa"/>
        <w:numPr>
          <w:ilvl w:val="0"/>
          <w:numId w:val="3"/>
        </w:numPr>
        <w:suppressAutoHyphens/>
        <w:spacing w:after="0" w:line="240" w:lineRule="auto"/>
        <w:ind w:left="567" w:right="-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F36ABE">
        <w:rPr>
          <w:rFonts w:ascii="Arial" w:hAnsi="Arial" w:cs="Arial"/>
          <w:b/>
          <w:bCs/>
          <w:sz w:val="24"/>
          <w:szCs w:val="24"/>
        </w:rPr>
        <w:t xml:space="preserve">Aktivnost: Kapitalna ulaganja </w:t>
      </w:r>
      <w:r w:rsidR="00F36ABE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36ABE">
        <w:rPr>
          <w:rFonts w:ascii="Arial" w:hAnsi="Arial" w:cs="Arial"/>
          <w:sz w:val="24"/>
          <w:szCs w:val="24"/>
        </w:rPr>
        <w:t xml:space="preserve">predlaže se </w:t>
      </w:r>
      <w:r w:rsidR="00F36ABE" w:rsidRPr="00F36ABE">
        <w:rPr>
          <w:rFonts w:ascii="Arial" w:hAnsi="Arial" w:cs="Arial"/>
          <w:sz w:val="24"/>
          <w:szCs w:val="24"/>
        </w:rPr>
        <w:t>uvećanje</w:t>
      </w:r>
      <w:r w:rsidRPr="00F36ABE">
        <w:rPr>
          <w:rFonts w:ascii="Arial" w:hAnsi="Arial" w:cs="Arial"/>
          <w:sz w:val="24"/>
          <w:szCs w:val="24"/>
        </w:rPr>
        <w:t xml:space="preserve"> u iznosu od </w:t>
      </w:r>
      <w:r w:rsidR="00F36ABE" w:rsidRPr="00F36ABE">
        <w:rPr>
          <w:rFonts w:ascii="Arial" w:hAnsi="Arial" w:cs="Arial"/>
          <w:sz w:val="24"/>
          <w:szCs w:val="24"/>
        </w:rPr>
        <w:t>338,00</w:t>
      </w:r>
      <w:r w:rsidRPr="00F36ABE">
        <w:rPr>
          <w:rFonts w:ascii="Arial" w:hAnsi="Arial" w:cs="Arial"/>
          <w:sz w:val="24"/>
          <w:szCs w:val="24"/>
        </w:rPr>
        <w:t xml:space="preserve"> eura (</w:t>
      </w:r>
      <w:r w:rsidR="00F36ABE" w:rsidRPr="00F36ABE">
        <w:rPr>
          <w:rFonts w:ascii="Arial" w:hAnsi="Arial" w:cs="Arial"/>
          <w:sz w:val="24"/>
          <w:szCs w:val="24"/>
        </w:rPr>
        <w:t>0</w:t>
      </w:r>
      <w:r w:rsidRPr="00F36ABE">
        <w:rPr>
          <w:rFonts w:ascii="Arial" w:hAnsi="Arial" w:cs="Arial"/>
          <w:sz w:val="24"/>
          <w:szCs w:val="24"/>
        </w:rPr>
        <w:t xml:space="preserve">,99%) </w:t>
      </w:r>
      <w:r w:rsidR="00F36ABE" w:rsidRPr="004902C7">
        <w:rPr>
          <w:rFonts w:ascii="Arial" w:hAnsi="Arial" w:cs="Arial"/>
          <w:sz w:val="24"/>
          <w:szCs w:val="24"/>
        </w:rPr>
        <w:t xml:space="preserve">odnosi se na višak prihoda od nefinancijske imovine koji je </w:t>
      </w:r>
      <w:r w:rsidR="00F36ABE" w:rsidRPr="00F36ABE">
        <w:rPr>
          <w:rFonts w:ascii="Arial" w:hAnsi="Arial" w:cs="Arial"/>
          <w:sz w:val="24"/>
          <w:szCs w:val="24"/>
        </w:rPr>
        <w:t>prema Odluci o raspodjeli rezultata za 2024.g. raspoređen za nabavu knjižnične građe.</w:t>
      </w:r>
    </w:p>
    <w:p w14:paraId="738C2B56" w14:textId="456B3892" w:rsidR="008148E1" w:rsidRDefault="008148E1" w:rsidP="0089468E">
      <w:pPr>
        <w:pStyle w:val="Odlomakpopisa"/>
        <w:ind w:left="142" w:right="-1"/>
        <w:jc w:val="both"/>
        <w:rPr>
          <w:rFonts w:ascii="Arial" w:hAnsi="Arial" w:cs="Arial"/>
          <w:b/>
          <w:bCs/>
        </w:rPr>
      </w:pPr>
    </w:p>
    <w:bookmarkEnd w:id="9"/>
    <w:p w14:paraId="01729E70" w14:textId="276722C0" w:rsidR="0089468E" w:rsidRDefault="0089468E" w:rsidP="0089468E">
      <w:pPr>
        <w:pStyle w:val="Opisslike"/>
        <w:keepNext/>
        <w:rPr>
          <w:rFonts w:ascii="Arial" w:hAnsi="Arial"/>
          <w:b/>
          <w:bCs/>
        </w:rPr>
      </w:pPr>
      <w:r w:rsidRPr="00F30C25">
        <w:rPr>
          <w:rFonts w:ascii="Arial" w:hAnsi="Arial"/>
        </w:rPr>
        <w:t xml:space="preserve">Tablica </w:t>
      </w:r>
      <w:r w:rsidRPr="00F30C25">
        <w:rPr>
          <w:rFonts w:ascii="Arial" w:hAnsi="Arial"/>
        </w:rPr>
        <w:fldChar w:fldCharType="begin"/>
      </w:r>
      <w:r w:rsidRPr="00F30C25">
        <w:rPr>
          <w:rFonts w:ascii="Arial" w:hAnsi="Arial"/>
        </w:rPr>
        <w:instrText xml:space="preserve"> SEQ Tablica \* ARABIC </w:instrText>
      </w:r>
      <w:r w:rsidRPr="00F30C25">
        <w:rPr>
          <w:rFonts w:ascii="Arial" w:hAnsi="Arial"/>
        </w:rPr>
        <w:fldChar w:fldCharType="separate"/>
      </w:r>
      <w:r w:rsidR="00B6061C">
        <w:rPr>
          <w:rFonts w:ascii="Arial" w:hAnsi="Arial"/>
          <w:noProof/>
        </w:rPr>
        <w:t>2</w:t>
      </w:r>
      <w:r w:rsidRPr="00F30C25">
        <w:rPr>
          <w:rFonts w:ascii="Arial" w:hAnsi="Arial"/>
        </w:rPr>
        <w:fldChar w:fldCharType="end"/>
      </w:r>
      <w:r w:rsidRPr="00F30C25">
        <w:rPr>
          <w:rFonts w:ascii="Arial" w:hAnsi="Arial"/>
        </w:rPr>
        <w:t xml:space="preserve">.    </w:t>
      </w:r>
      <w:bookmarkStart w:id="10" w:name="_Hlk100922761"/>
      <w:r w:rsidRPr="00F30C25">
        <w:rPr>
          <w:rFonts w:ascii="Arial" w:hAnsi="Arial"/>
          <w:b/>
          <w:bCs/>
        </w:rPr>
        <w:t>Rekapitulacija po aktivnostima - 202</w:t>
      </w:r>
      <w:r w:rsidR="00F224AC">
        <w:rPr>
          <w:rFonts w:ascii="Arial" w:hAnsi="Arial"/>
          <w:b/>
          <w:bCs/>
        </w:rPr>
        <w:t>5</w:t>
      </w:r>
      <w:r w:rsidRPr="00F30C25">
        <w:rPr>
          <w:rFonts w:ascii="Arial" w:hAnsi="Arial"/>
          <w:b/>
          <w:bCs/>
        </w:rPr>
        <w:t>.</w:t>
      </w:r>
      <w:bookmarkEnd w:id="10"/>
    </w:p>
    <w:p w14:paraId="78F81348" w14:textId="77777777" w:rsidR="00F36ABE" w:rsidRPr="00F30C25" w:rsidRDefault="00F36ABE" w:rsidP="0089468E">
      <w:pPr>
        <w:pStyle w:val="Opisslike"/>
        <w:keepNext/>
        <w:rPr>
          <w:rFonts w:ascii="Arial" w:hAnsi="Arial"/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1971"/>
        <w:gridCol w:w="1721"/>
        <w:gridCol w:w="1843"/>
        <w:gridCol w:w="1367"/>
      </w:tblGrid>
      <w:tr w:rsidR="0089468E" w:rsidRPr="00F30C25" w14:paraId="379A581B" w14:textId="77777777" w:rsidTr="00F36ABE">
        <w:trPr>
          <w:trHeight w:val="60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52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31C1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Plan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B8FA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Razlika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3ACB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4DC5" w14:textId="77777777" w:rsidR="0089468E" w:rsidRPr="00F30C25" w:rsidRDefault="0089468E" w:rsidP="00C876BC">
            <w:pPr>
              <w:spacing w:line="256" w:lineRule="auto"/>
              <w:ind w:firstLineChars="100" w:firstLine="24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89468E" w:rsidRPr="00F30C25" w14:paraId="636F29C8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DFF9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A500013 FINANCIRANJE REDOVNE DJELATNOSTI KNJIŽNICE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16F8" w14:textId="290ACD3A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203.635,00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F4D2" w14:textId="09B2C0E6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18.913,00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F622" w14:textId="1C9AD8DC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222.548,00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21AA" w14:textId="1BA73FE2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109,29</w:t>
            </w:r>
          </w:p>
        </w:tc>
      </w:tr>
      <w:tr w:rsidR="0089468E" w:rsidRPr="00F30C25" w14:paraId="12AE672E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D23F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A500014 KNJIŽEVNI SUSRETI I RADIONICE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86A4" w14:textId="26355FD3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10.400,00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0D8F" w14:textId="718D076C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3.740,00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E177" w14:textId="66E51204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14.140,00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8D1D" w14:textId="7A3C027E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135,96</w:t>
            </w:r>
          </w:p>
        </w:tc>
      </w:tr>
      <w:tr w:rsidR="0089468E" w:rsidRPr="00F30C25" w14:paraId="126F7BF9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B91ACA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 w:rsidRPr="00F30C25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K500001 KAPITALNA ULAGANJA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59160" w14:textId="6A5E07B2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34.200,00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6C91F" w14:textId="31664B12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BE7B69" w14:textId="130EC03F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34.538,00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913A1E" w14:textId="66311C7A" w:rsidR="0089468E" w:rsidRPr="00F30C25" w:rsidRDefault="008148E1" w:rsidP="00C876BC">
            <w:pPr>
              <w:spacing w:line="256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100,99</w:t>
            </w:r>
          </w:p>
        </w:tc>
      </w:tr>
      <w:tr w:rsidR="0089468E" w:rsidRPr="00F30C25" w14:paraId="00D07C03" w14:textId="77777777" w:rsidTr="00F36ABE">
        <w:trPr>
          <w:trHeight w:val="240"/>
          <w:jc w:val="center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3C896" w14:textId="77777777" w:rsidR="0089468E" w:rsidRPr="00F30C25" w:rsidRDefault="0089468E" w:rsidP="00C876B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C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SVEUKUPNO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3071E" w14:textId="657DF94E" w:rsidR="0089468E" w:rsidRPr="00F30C25" w:rsidRDefault="008148E1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248.235,00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507EE" w14:textId="6D892FF7" w:rsidR="0089468E" w:rsidRPr="00F30C25" w:rsidRDefault="008148E1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22.991,00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DFD04" w14:textId="0A4FFD8B" w:rsidR="0089468E" w:rsidRPr="00F30C25" w:rsidRDefault="008148E1" w:rsidP="008148E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271.226,00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06E33" w14:textId="526F63E2" w:rsidR="0089468E" w:rsidRPr="00F30C25" w:rsidRDefault="00F224AC" w:rsidP="00F224AC">
            <w:pPr>
              <w:spacing w:line="25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109,26</w:t>
            </w:r>
          </w:p>
        </w:tc>
      </w:tr>
    </w:tbl>
    <w:p w14:paraId="59323EA1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98186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AF195" w14:textId="77777777" w:rsidR="0089468E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2BD5D" w14:textId="77777777" w:rsidR="0089468E" w:rsidRPr="00F30C25" w:rsidRDefault="0089468E" w:rsidP="008946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789A0" w14:textId="54BF0AA0" w:rsidR="0089468E" w:rsidRPr="00F30C25" w:rsidRDefault="0089468E" w:rsidP="00B6061C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="00B6061C">
        <w:rPr>
          <w:rFonts w:ascii="Arial" w:hAnsi="Arial" w:cs="Arial"/>
          <w:sz w:val="24"/>
          <w:szCs w:val="24"/>
        </w:rPr>
        <w:tab/>
      </w:r>
      <w:r w:rsidR="00B6061C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>RAVNATELJICA</w:t>
      </w:r>
    </w:p>
    <w:p w14:paraId="6CB7AE17" w14:textId="40077225" w:rsidR="0089468E" w:rsidRDefault="0089468E" w:rsidP="00B6061C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="00B6061C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>Silvia Fiamengo, prof. i dipl. bibl.</w:t>
      </w:r>
    </w:p>
    <w:p w14:paraId="2EE9899B" w14:textId="77777777" w:rsidR="0089468E" w:rsidRPr="00F30C25" w:rsidRDefault="0089468E" w:rsidP="00F36ABE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  <w:r w:rsidRPr="00F30C25">
        <w:rPr>
          <w:rFonts w:ascii="Arial" w:hAnsi="Arial" w:cs="Arial"/>
          <w:sz w:val="24"/>
          <w:szCs w:val="24"/>
        </w:rPr>
        <w:tab/>
      </w:r>
    </w:p>
    <w:p w14:paraId="5050CF68" w14:textId="77777777" w:rsidR="0089468E" w:rsidRPr="00F30C25" w:rsidRDefault="0089468E" w:rsidP="00F36ABE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31A94A" w14:textId="77777777" w:rsidR="0089468E" w:rsidRPr="00F30C25" w:rsidRDefault="0089468E" w:rsidP="0089468E">
      <w:pPr>
        <w:rPr>
          <w:rFonts w:ascii="Arial" w:hAnsi="Arial" w:cs="Arial"/>
          <w:sz w:val="24"/>
          <w:szCs w:val="24"/>
        </w:rPr>
      </w:pPr>
    </w:p>
    <w:p w14:paraId="1D125AEA" w14:textId="77777777" w:rsidR="0089468E" w:rsidRPr="00DC6F75" w:rsidRDefault="0089468E" w:rsidP="00DC6F75">
      <w:pPr>
        <w:rPr>
          <w:rFonts w:ascii="Arial" w:hAnsi="Arial" w:cs="Arial"/>
          <w:b/>
          <w:bCs/>
          <w:sz w:val="24"/>
          <w:szCs w:val="24"/>
        </w:rPr>
      </w:pPr>
    </w:p>
    <w:sectPr w:rsidR="0089468E" w:rsidRPr="00DC6F75" w:rsidSect="00B6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382"/>
    <w:multiLevelType w:val="hybridMultilevel"/>
    <w:tmpl w:val="ABBCC034"/>
    <w:lvl w:ilvl="0" w:tplc="1922A718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4F29AA"/>
    <w:multiLevelType w:val="multilevel"/>
    <w:tmpl w:val="C1B85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BA42AA9"/>
    <w:multiLevelType w:val="hybridMultilevel"/>
    <w:tmpl w:val="A9B03B0E"/>
    <w:lvl w:ilvl="0" w:tplc="1922A718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536FD6"/>
    <w:multiLevelType w:val="hybridMultilevel"/>
    <w:tmpl w:val="5DDEA410"/>
    <w:lvl w:ilvl="0" w:tplc="0382F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75995">
    <w:abstractNumId w:val="1"/>
  </w:num>
  <w:num w:numId="2" w16cid:durableId="398014873">
    <w:abstractNumId w:val="2"/>
  </w:num>
  <w:num w:numId="3" w16cid:durableId="1220631007">
    <w:abstractNumId w:val="0"/>
  </w:num>
  <w:num w:numId="4" w16cid:durableId="213405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F9"/>
    <w:rsid w:val="000026E1"/>
    <w:rsid w:val="000A3381"/>
    <w:rsid w:val="000E5D8F"/>
    <w:rsid w:val="00144A11"/>
    <w:rsid w:val="001621E7"/>
    <w:rsid w:val="00225634"/>
    <w:rsid w:val="0023765D"/>
    <w:rsid w:val="0025203C"/>
    <w:rsid w:val="002D5E26"/>
    <w:rsid w:val="002F3075"/>
    <w:rsid w:val="003F6F34"/>
    <w:rsid w:val="004375B1"/>
    <w:rsid w:val="004902C7"/>
    <w:rsid w:val="00494748"/>
    <w:rsid w:val="004E218C"/>
    <w:rsid w:val="00573AB4"/>
    <w:rsid w:val="005A095A"/>
    <w:rsid w:val="005A30F5"/>
    <w:rsid w:val="005B380D"/>
    <w:rsid w:val="00615EEC"/>
    <w:rsid w:val="00636465"/>
    <w:rsid w:val="007B2FAC"/>
    <w:rsid w:val="008148E1"/>
    <w:rsid w:val="0089468E"/>
    <w:rsid w:val="008B437D"/>
    <w:rsid w:val="0092085F"/>
    <w:rsid w:val="00A15EF2"/>
    <w:rsid w:val="00A455DC"/>
    <w:rsid w:val="00A55C71"/>
    <w:rsid w:val="00A618E2"/>
    <w:rsid w:val="00A76EAA"/>
    <w:rsid w:val="00AF4E32"/>
    <w:rsid w:val="00B007F9"/>
    <w:rsid w:val="00B34784"/>
    <w:rsid w:val="00B6061C"/>
    <w:rsid w:val="00C67AA1"/>
    <w:rsid w:val="00C876BC"/>
    <w:rsid w:val="00CD1E6D"/>
    <w:rsid w:val="00D0468E"/>
    <w:rsid w:val="00D21975"/>
    <w:rsid w:val="00DA3EE4"/>
    <w:rsid w:val="00DC6F75"/>
    <w:rsid w:val="00E1724C"/>
    <w:rsid w:val="00E942C7"/>
    <w:rsid w:val="00ED1792"/>
    <w:rsid w:val="00EE7888"/>
    <w:rsid w:val="00EF7CB0"/>
    <w:rsid w:val="00F224AC"/>
    <w:rsid w:val="00F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8E0B"/>
  <w15:chartTrackingRefBased/>
  <w15:docId w15:val="{F695A265-49D7-44C0-AE7C-A785B1C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7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7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7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7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7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7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7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7F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6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uiPriority w:val="99"/>
    <w:semiHidden/>
    <w:unhideWhenUsed/>
    <w:qFormat/>
    <w:rsid w:val="008946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0"/>
      <w:sz w:val="24"/>
      <w:szCs w:val="24"/>
      <w:lang w:eastAsia="zh-CN"/>
      <w14:ligatures w14:val="none"/>
    </w:rPr>
  </w:style>
  <w:style w:type="paragraph" w:styleId="Bezproreda">
    <w:name w:val="No Spacing"/>
    <w:link w:val="BezproredaChar"/>
    <w:uiPriority w:val="1"/>
    <w:qFormat/>
    <w:rsid w:val="008946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qFormat/>
    <w:locked/>
    <w:rsid w:val="008946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7D1-8BB5-4597-99DA-44C0F7B5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2583</Words>
  <Characters>14728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 Pamić</dc:creator>
  <cp:keywords/>
  <dc:description/>
  <cp:lastModifiedBy>Silvia Fiamengo</cp:lastModifiedBy>
  <cp:revision>6</cp:revision>
  <cp:lastPrinted>2025-07-28T08:43:00Z</cp:lastPrinted>
  <dcterms:created xsi:type="dcterms:W3CDTF">2025-07-10T09:24:00Z</dcterms:created>
  <dcterms:modified xsi:type="dcterms:W3CDTF">2025-07-28T08:46:00Z</dcterms:modified>
</cp:coreProperties>
</file>