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GRADSKA KNJIŽNICA LABIN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Rudarska 1A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52220 LABIN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MB: 02127679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OIB:68585857405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Razdjel 000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Šifra djelatnosti: 9101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Razina 21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RKP: 42266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004FD9">
        <w:rPr>
          <w:rFonts w:ascii="Times New Roman" w:hAnsi="Times New Roman" w:cs="Times New Roman"/>
          <w:b/>
        </w:rPr>
        <w:t>Iban</w:t>
      </w:r>
      <w:proofErr w:type="spellEnd"/>
      <w:r w:rsidRPr="00004FD9">
        <w:rPr>
          <w:rFonts w:ascii="Times New Roman" w:hAnsi="Times New Roman" w:cs="Times New Roman"/>
          <w:b/>
          <w:bCs/>
        </w:rPr>
        <w:t xml:space="preserve">: HR4523400091822200000 (riznica Grada Labina)          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BILJEŠKE</w:t>
      </w: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za razdoblje od 01. siječnja do 31. prosinca 202</w:t>
      </w:r>
      <w:r w:rsidR="00395E5C">
        <w:rPr>
          <w:rFonts w:ascii="Times New Roman" w:hAnsi="Times New Roman" w:cs="Times New Roman"/>
          <w:b/>
          <w:bCs/>
        </w:rPr>
        <w:t>1</w:t>
      </w:r>
      <w:r w:rsidRPr="00004FD9">
        <w:rPr>
          <w:rFonts w:ascii="Times New Roman" w:hAnsi="Times New Roman" w:cs="Times New Roman"/>
          <w:b/>
          <w:bCs/>
        </w:rPr>
        <w:t>. godine</w:t>
      </w: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C5EAC" w:rsidRPr="00826EE3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Gradska knjižnica Labin narodna je knjižnica. Osnivač knjižnice je Grad Labin. Knjižnica je osnovana na temelju Odluke o osnivanju Javne ustanove Gradska knjižnica Labin od 28. travnja  2006. godine, 31. ožujka 2014. i od 26. lipnja 2019. godine te upisana u registarskom ulošku registarskog suda pod brojem </w:t>
      </w:r>
      <w:proofErr w:type="spellStart"/>
      <w:r w:rsidRPr="00004FD9">
        <w:rPr>
          <w:rFonts w:ascii="Times New Roman" w:hAnsi="Times New Roman" w:cs="Times New Roman"/>
          <w:bCs/>
        </w:rPr>
        <w:t>Tt</w:t>
      </w:r>
      <w:proofErr w:type="spellEnd"/>
      <w:r w:rsidRPr="00004FD9">
        <w:rPr>
          <w:rFonts w:ascii="Times New Roman" w:hAnsi="Times New Roman" w:cs="Times New Roman"/>
          <w:bCs/>
        </w:rPr>
        <w:t xml:space="preserve"> – 13/9101-6.</w:t>
      </w:r>
      <w:r w:rsidR="00E04A58">
        <w:rPr>
          <w:rFonts w:ascii="Times New Roman" w:hAnsi="Times New Roman" w:cs="Times New Roman"/>
          <w:bCs/>
        </w:rPr>
        <w:t xml:space="preserve"> </w:t>
      </w:r>
      <w:r w:rsidR="00E04A58" w:rsidRPr="00826EE3">
        <w:rPr>
          <w:rFonts w:ascii="Times New Roman" w:hAnsi="Times New Roman"/>
        </w:rPr>
        <w:t xml:space="preserve">Od 15. listopada 2013. godine Knjižnica djeluje u ulici Rudarska 1/A, u takozvanoj mramornoj dvorani, u prostoru nekadašnje direkcije Istarskih ugljenokopa Raša, koji zajedno s preostalim dijelom rudarsko-industrijskog kompleksa na </w:t>
      </w:r>
      <w:proofErr w:type="spellStart"/>
      <w:r w:rsidR="00E04A58" w:rsidRPr="00826EE3">
        <w:rPr>
          <w:rFonts w:ascii="Times New Roman" w:hAnsi="Times New Roman"/>
        </w:rPr>
        <w:t>Pijacalu</w:t>
      </w:r>
      <w:proofErr w:type="spellEnd"/>
      <w:r w:rsidR="00E04A58" w:rsidRPr="00826EE3">
        <w:rPr>
          <w:rFonts w:ascii="Times New Roman" w:hAnsi="Times New Roman"/>
        </w:rPr>
        <w:t xml:space="preserve"> čini zaštićeno kulturno dobro rudarske baštine.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 Za obračunsko razdoblje siječanj-prosinac 202</w:t>
      </w:r>
      <w:r w:rsidR="00395E5C">
        <w:rPr>
          <w:rFonts w:ascii="Times New Roman" w:hAnsi="Times New Roman" w:cs="Times New Roman"/>
        </w:rPr>
        <w:t>1</w:t>
      </w:r>
      <w:r w:rsidRPr="00004FD9">
        <w:rPr>
          <w:rFonts w:ascii="Times New Roman" w:hAnsi="Times New Roman" w:cs="Times New Roman"/>
        </w:rPr>
        <w:t>. godine izrađeni su slijedeći izvještaji: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prihodima i rashodima, primicima i izdacima, na obrascu PR-RAS,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rashodima prema funkcijskoj klasifikaciji, na obrascu RAS-funkcijski,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Bilanca, na obrascu BIL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obvezama, na obrascu Obveze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promjenama u vrijednosti i obujmu imovine, na obrascu P-VRIO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lastRenderedPageBreak/>
        <w:t>BILJEŠKE UZ PR-RAS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001 Prihodi poslovanja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Prihodi poslovanja ostvareni su u iznosu od </w:t>
      </w:r>
      <w:r w:rsidR="00395E5C">
        <w:rPr>
          <w:rFonts w:ascii="Times New Roman" w:hAnsi="Times New Roman" w:cs="Times New Roman"/>
        </w:rPr>
        <w:t>947.691</w:t>
      </w:r>
      <w:r w:rsidRPr="00004FD9">
        <w:rPr>
          <w:rFonts w:ascii="Times New Roman" w:hAnsi="Times New Roman" w:cs="Times New Roman"/>
        </w:rPr>
        <w:t xml:space="preserve"> kn što je </w:t>
      </w:r>
      <w:r w:rsidR="00395E5C">
        <w:rPr>
          <w:rFonts w:ascii="Times New Roman" w:hAnsi="Times New Roman" w:cs="Times New Roman"/>
        </w:rPr>
        <w:t>više</w:t>
      </w:r>
      <w:r w:rsidRPr="00004FD9">
        <w:rPr>
          <w:rFonts w:ascii="Times New Roman" w:hAnsi="Times New Roman" w:cs="Times New Roman"/>
        </w:rPr>
        <w:t xml:space="preserve"> za </w:t>
      </w:r>
      <w:r w:rsidR="00395E5C">
        <w:rPr>
          <w:rFonts w:ascii="Times New Roman" w:hAnsi="Times New Roman" w:cs="Times New Roman"/>
        </w:rPr>
        <w:t>21,5</w:t>
      </w:r>
      <w:r w:rsidRPr="00004FD9">
        <w:rPr>
          <w:rFonts w:ascii="Times New Roman" w:hAnsi="Times New Roman" w:cs="Times New Roman"/>
        </w:rPr>
        <w:t>% u odnosu na prethodnu godinu. U prihode poslovanja ulaze prihodi nadležnog proračuna, pomoći državnog proračuna</w:t>
      </w:r>
      <w:r w:rsidR="00395E5C">
        <w:rPr>
          <w:rFonts w:ascii="Times New Roman" w:hAnsi="Times New Roman" w:cs="Times New Roman"/>
        </w:rPr>
        <w:t>,</w:t>
      </w:r>
      <w:r w:rsidRPr="00004FD9">
        <w:rPr>
          <w:rFonts w:ascii="Times New Roman" w:hAnsi="Times New Roman" w:cs="Times New Roman"/>
        </w:rPr>
        <w:t xml:space="preserve"> prihodi od članarina te prihodi od pruženih usluga.</w:t>
      </w:r>
    </w:p>
    <w:p w:rsidR="00924036" w:rsidRDefault="00924036" w:rsidP="004C5EAC">
      <w:pPr>
        <w:spacing w:line="360" w:lineRule="auto"/>
        <w:rPr>
          <w:rFonts w:ascii="Times New Roman" w:hAnsi="Times New Roman" w:cs="Times New Roman"/>
        </w:rPr>
      </w:pPr>
    </w:p>
    <w:tbl>
      <w:tblPr>
        <w:tblW w:w="7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1468"/>
        <w:gridCol w:w="1468"/>
      </w:tblGrid>
      <w:tr w:rsidR="00395E5C" w:rsidRPr="00F511B1" w:rsidTr="00395E5C">
        <w:trPr>
          <w:trHeight w:val="202"/>
        </w:trPr>
        <w:tc>
          <w:tcPr>
            <w:tcW w:w="0" w:type="auto"/>
          </w:tcPr>
          <w:p w:rsidR="00395E5C" w:rsidRPr="007816E3" w:rsidRDefault="00395E5C" w:rsidP="00395E5C">
            <w:pPr>
              <w:rPr>
                <w:rFonts w:ascii="Times New Roman" w:hAnsi="Times New Roman" w:cs="Times New Roman"/>
              </w:rPr>
            </w:pPr>
            <w:r w:rsidRPr="007816E3">
              <w:rPr>
                <w:rFonts w:ascii="Times New Roman" w:hAnsi="Times New Roman" w:cs="Times New Roman"/>
              </w:rPr>
              <w:t>Pomoći od subjekta unutar općeg proračuna</w:t>
            </w:r>
          </w:p>
        </w:tc>
        <w:tc>
          <w:tcPr>
            <w:tcW w:w="1468" w:type="dxa"/>
          </w:tcPr>
          <w:p w:rsidR="00395E5C" w:rsidRPr="0054567A" w:rsidRDefault="00395E5C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AOP 45</w:t>
            </w:r>
          </w:p>
        </w:tc>
        <w:tc>
          <w:tcPr>
            <w:tcW w:w="1468" w:type="dxa"/>
          </w:tcPr>
          <w:p w:rsidR="00395E5C" w:rsidRPr="0054567A" w:rsidRDefault="00395E5C" w:rsidP="00395E5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4567A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4567A">
              <w:rPr>
                <w:rFonts w:ascii="Times New Roman" w:hAnsi="Times New Roman" w:cs="Times New Roman"/>
                <w:bCs/>
              </w:rPr>
              <w:t>.000</w:t>
            </w:r>
          </w:p>
        </w:tc>
      </w:tr>
      <w:tr w:rsidR="00395E5C" w:rsidRPr="00F511B1" w:rsidTr="00395E5C">
        <w:trPr>
          <w:trHeight w:val="537"/>
        </w:trPr>
        <w:tc>
          <w:tcPr>
            <w:tcW w:w="0" w:type="auto"/>
          </w:tcPr>
          <w:p w:rsidR="00395E5C" w:rsidRPr="00ED4063" w:rsidRDefault="00395E5C" w:rsidP="000826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Prihodi od administrativnih pristojbi i pristojbi po posebnim propisima</w:t>
            </w:r>
          </w:p>
        </w:tc>
        <w:tc>
          <w:tcPr>
            <w:tcW w:w="1468" w:type="dxa"/>
          </w:tcPr>
          <w:p w:rsidR="00395E5C" w:rsidRPr="0054567A" w:rsidRDefault="00395E5C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AOP 101</w:t>
            </w:r>
          </w:p>
        </w:tc>
        <w:tc>
          <w:tcPr>
            <w:tcW w:w="1468" w:type="dxa"/>
          </w:tcPr>
          <w:p w:rsidR="00395E5C" w:rsidRPr="0054567A" w:rsidRDefault="00395E5C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87.833</w:t>
            </w:r>
          </w:p>
        </w:tc>
      </w:tr>
      <w:tr w:rsidR="00395E5C" w:rsidRPr="00F511B1" w:rsidTr="00395E5C">
        <w:trPr>
          <w:trHeight w:val="250"/>
        </w:trPr>
        <w:tc>
          <w:tcPr>
            <w:tcW w:w="0" w:type="auto"/>
          </w:tcPr>
          <w:p w:rsidR="00395E5C" w:rsidRPr="00ED4063" w:rsidRDefault="00395E5C" w:rsidP="000826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Prihodi od prodaje proizvoda i robe te pruženih usluga</w:t>
            </w:r>
          </w:p>
        </w:tc>
        <w:tc>
          <w:tcPr>
            <w:tcW w:w="1468" w:type="dxa"/>
          </w:tcPr>
          <w:p w:rsidR="00395E5C" w:rsidRPr="0054567A" w:rsidRDefault="00395E5C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AOP 119</w:t>
            </w:r>
          </w:p>
        </w:tc>
        <w:tc>
          <w:tcPr>
            <w:tcW w:w="1468" w:type="dxa"/>
          </w:tcPr>
          <w:p w:rsidR="00395E5C" w:rsidRPr="0054567A" w:rsidRDefault="00395E5C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35.835</w:t>
            </w:r>
          </w:p>
        </w:tc>
      </w:tr>
      <w:tr w:rsidR="00395E5C" w:rsidRPr="005E6661" w:rsidTr="00395E5C">
        <w:trPr>
          <w:trHeight w:val="178"/>
        </w:trPr>
        <w:tc>
          <w:tcPr>
            <w:tcW w:w="0" w:type="auto"/>
          </w:tcPr>
          <w:p w:rsidR="00395E5C" w:rsidRPr="00ED4063" w:rsidRDefault="00395E5C" w:rsidP="00082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 iz nadležnog proračuna za proračunske korisnike</w:t>
            </w:r>
          </w:p>
        </w:tc>
        <w:tc>
          <w:tcPr>
            <w:tcW w:w="1468" w:type="dxa"/>
          </w:tcPr>
          <w:p w:rsidR="00395E5C" w:rsidRPr="0054567A" w:rsidRDefault="00395E5C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AOP 128</w:t>
            </w:r>
          </w:p>
        </w:tc>
        <w:tc>
          <w:tcPr>
            <w:tcW w:w="1468" w:type="dxa"/>
          </w:tcPr>
          <w:p w:rsidR="00395E5C" w:rsidRPr="0054567A" w:rsidRDefault="00395E5C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731.023</w:t>
            </w:r>
          </w:p>
        </w:tc>
      </w:tr>
      <w:tr w:rsidR="00395E5C" w:rsidRPr="005E6661" w:rsidTr="00395E5C">
        <w:trPr>
          <w:trHeight w:val="202"/>
        </w:trPr>
        <w:tc>
          <w:tcPr>
            <w:tcW w:w="0" w:type="auto"/>
          </w:tcPr>
          <w:p w:rsidR="00395E5C" w:rsidRPr="00ED4063" w:rsidRDefault="00395E5C" w:rsidP="00082657">
            <w:pPr>
              <w:rPr>
                <w:rFonts w:ascii="Times New Roman" w:hAnsi="Times New Roman" w:cs="Times New Roman"/>
              </w:rPr>
            </w:pPr>
            <w:r w:rsidRPr="00ED4063">
              <w:rPr>
                <w:rFonts w:ascii="Times New Roman" w:hAnsi="Times New Roman" w:cs="Times New Roman"/>
                <w:b/>
                <w:bCs/>
              </w:rPr>
              <w:t>UKUPNO :</w:t>
            </w:r>
          </w:p>
        </w:tc>
        <w:tc>
          <w:tcPr>
            <w:tcW w:w="1468" w:type="dxa"/>
          </w:tcPr>
          <w:p w:rsidR="00395E5C" w:rsidRDefault="00395E5C" w:rsidP="000826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8" w:type="dxa"/>
          </w:tcPr>
          <w:p w:rsidR="00395E5C" w:rsidRPr="00ED4063" w:rsidRDefault="00395E5C" w:rsidP="000826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947.691</w:t>
            </w:r>
          </w:p>
        </w:tc>
      </w:tr>
    </w:tbl>
    <w:p w:rsidR="0054567A" w:rsidRDefault="0054567A" w:rsidP="004C5EAC">
      <w:pPr>
        <w:spacing w:line="360" w:lineRule="auto"/>
        <w:rPr>
          <w:rFonts w:ascii="Times New Roman" w:hAnsi="Times New Roman" w:cs="Times New Roman"/>
        </w:rPr>
      </w:pPr>
    </w:p>
    <w:p w:rsidR="00E04A58" w:rsidRDefault="00E04A58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4A58">
        <w:rPr>
          <w:rFonts w:ascii="Times New Roman" w:hAnsi="Times New Roman" w:cs="Times New Roman"/>
          <w:b/>
        </w:rPr>
        <w:t>AOP 064 Tekuće pomoći proračunskim korisnicima iz proračuna koji im nije nadležan</w:t>
      </w:r>
    </w:p>
    <w:p w:rsidR="00E04A58" w:rsidRPr="00E04A58" w:rsidRDefault="00E04A58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</w:t>
      </w:r>
      <w:r w:rsidR="00395E5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395E5C">
        <w:rPr>
          <w:rFonts w:ascii="Times New Roman" w:hAnsi="Times New Roman" w:cs="Times New Roman"/>
        </w:rPr>
        <w:t xml:space="preserve">godini iz </w:t>
      </w:r>
      <w:r w:rsidR="00D35E23">
        <w:rPr>
          <w:rFonts w:ascii="Times New Roman" w:hAnsi="Times New Roman" w:cs="Times New Roman"/>
        </w:rPr>
        <w:t>d</w:t>
      </w:r>
      <w:r w:rsidR="00395E5C">
        <w:rPr>
          <w:rFonts w:ascii="Times New Roman" w:hAnsi="Times New Roman" w:cs="Times New Roman"/>
        </w:rPr>
        <w:t>ržavnog proračuna primljene su</w:t>
      </w:r>
      <w:r>
        <w:rPr>
          <w:rFonts w:ascii="Times New Roman" w:hAnsi="Times New Roman" w:cs="Times New Roman"/>
        </w:rPr>
        <w:t xml:space="preserve"> tekuć</w:t>
      </w:r>
      <w:r w:rsidR="00395E5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pomoći </w:t>
      </w:r>
      <w:r w:rsidR="00395E5C">
        <w:rPr>
          <w:rFonts w:ascii="Times New Roman" w:hAnsi="Times New Roman" w:cs="Times New Roman"/>
        </w:rPr>
        <w:t>za radionicu stvaranja i oblikovanja knjiga u iznosu 3.000</w:t>
      </w:r>
      <w:r w:rsidR="007D0993">
        <w:rPr>
          <w:rFonts w:ascii="Times New Roman" w:hAnsi="Times New Roman" w:cs="Times New Roman"/>
        </w:rPr>
        <w:t xml:space="preserve"> </w:t>
      </w:r>
      <w:r w:rsidR="00395E5C">
        <w:rPr>
          <w:rFonts w:ascii="Times New Roman" w:hAnsi="Times New Roman" w:cs="Times New Roman"/>
        </w:rPr>
        <w:t>kn.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4FD9">
        <w:rPr>
          <w:rFonts w:ascii="Times New Roman" w:hAnsi="Times New Roman" w:cs="Times New Roman"/>
          <w:b/>
        </w:rPr>
        <w:t>AOP 065 Kapitalne pomoći proračunskim korisnicima iz proračuna koji im nije nadležan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Prihodi se odnose na kapitalne pomoći iz državnog proračuna za nabavu </w:t>
      </w:r>
      <w:r w:rsidR="00D35E23">
        <w:rPr>
          <w:rFonts w:ascii="Times New Roman" w:hAnsi="Times New Roman" w:cs="Times New Roman"/>
        </w:rPr>
        <w:t>knjižnične građe u visini 80.000 kn, te 10.000 kn primljenih od Općine Raša za nadogradnju zbirki za Knjižnični stacionar Raša.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4FD9">
        <w:rPr>
          <w:rFonts w:ascii="Times New Roman" w:hAnsi="Times New Roman" w:cs="Times New Roman"/>
          <w:b/>
        </w:rPr>
        <w:t>AOP 1</w:t>
      </w:r>
      <w:r w:rsidR="00D35E23">
        <w:rPr>
          <w:rFonts w:ascii="Times New Roman" w:hAnsi="Times New Roman" w:cs="Times New Roman"/>
          <w:b/>
        </w:rPr>
        <w:t>07</w:t>
      </w:r>
      <w:r w:rsidRPr="00004FD9">
        <w:rPr>
          <w:rFonts w:ascii="Times New Roman" w:hAnsi="Times New Roman" w:cs="Times New Roman"/>
          <w:b/>
        </w:rPr>
        <w:t xml:space="preserve"> Prihodi po posebnim propisima</w:t>
      </w:r>
    </w:p>
    <w:p w:rsidR="00D35E23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Prihodi po posebnim propisima odnose se na administrativne pristojbe (članarine,</w:t>
      </w:r>
      <w:r w:rsidR="00884168">
        <w:rPr>
          <w:rFonts w:ascii="Times New Roman" w:hAnsi="Times New Roman" w:cs="Times New Roman"/>
        </w:rPr>
        <w:t xml:space="preserve"> tehničke usluge, rezervacija, </w:t>
      </w:r>
      <w:proofErr w:type="spellStart"/>
      <w:r w:rsidR="00884168">
        <w:rPr>
          <w:rFonts w:ascii="Times New Roman" w:hAnsi="Times New Roman" w:cs="Times New Roman"/>
        </w:rPr>
        <w:t>zakasnina</w:t>
      </w:r>
      <w:proofErr w:type="spellEnd"/>
      <w:r w:rsidR="00D35E23">
        <w:rPr>
          <w:rFonts w:ascii="Times New Roman" w:hAnsi="Times New Roman" w:cs="Times New Roman"/>
        </w:rPr>
        <w:t>). U 2021</w:t>
      </w:r>
      <w:r w:rsidRPr="00004FD9">
        <w:rPr>
          <w:rFonts w:ascii="Times New Roman" w:hAnsi="Times New Roman" w:cs="Times New Roman"/>
        </w:rPr>
        <w:t xml:space="preserve">. ostvareni su u iznosu od </w:t>
      </w:r>
      <w:r w:rsidR="00D35E23">
        <w:rPr>
          <w:rFonts w:ascii="Times New Roman" w:hAnsi="Times New Roman" w:cs="Times New Roman"/>
        </w:rPr>
        <w:t>87.833</w:t>
      </w:r>
      <w:r w:rsidRPr="00004FD9">
        <w:rPr>
          <w:rFonts w:ascii="Times New Roman" w:hAnsi="Times New Roman" w:cs="Times New Roman"/>
        </w:rPr>
        <w:t xml:space="preserve"> kn što je za </w:t>
      </w:r>
      <w:r w:rsidR="00D35E23">
        <w:rPr>
          <w:rFonts w:ascii="Times New Roman" w:hAnsi="Times New Roman" w:cs="Times New Roman"/>
        </w:rPr>
        <w:t>1</w:t>
      </w:r>
      <w:r w:rsidRPr="00004FD9">
        <w:rPr>
          <w:rFonts w:ascii="Times New Roman" w:hAnsi="Times New Roman" w:cs="Times New Roman"/>
        </w:rPr>
        <w:t xml:space="preserve">0% </w:t>
      </w:r>
      <w:r w:rsidR="00D35E23">
        <w:rPr>
          <w:rFonts w:ascii="Times New Roman" w:hAnsi="Times New Roman" w:cs="Times New Roman"/>
        </w:rPr>
        <w:t>više</w:t>
      </w:r>
      <w:r w:rsidRPr="00004FD9">
        <w:rPr>
          <w:rFonts w:ascii="Times New Roman" w:hAnsi="Times New Roman" w:cs="Times New Roman"/>
        </w:rPr>
        <w:t xml:space="preserve"> u odnosu n</w:t>
      </w:r>
      <w:r w:rsidR="00D35E23">
        <w:rPr>
          <w:rFonts w:ascii="Times New Roman" w:hAnsi="Times New Roman" w:cs="Times New Roman"/>
        </w:rPr>
        <w:t>a</w:t>
      </w:r>
      <w:r w:rsidRPr="00004FD9">
        <w:rPr>
          <w:rFonts w:ascii="Times New Roman" w:hAnsi="Times New Roman" w:cs="Times New Roman"/>
        </w:rPr>
        <w:t xml:space="preserve"> prethodnu godinu. 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12</w:t>
      </w:r>
      <w:r w:rsidR="002711F5">
        <w:rPr>
          <w:rFonts w:ascii="Times New Roman" w:hAnsi="Times New Roman" w:cs="Times New Roman"/>
          <w:b/>
          <w:bCs/>
        </w:rPr>
        <w:t>2</w:t>
      </w:r>
      <w:r w:rsidRPr="00004FD9">
        <w:rPr>
          <w:rFonts w:ascii="Times New Roman" w:hAnsi="Times New Roman" w:cs="Times New Roman"/>
          <w:b/>
          <w:bCs/>
        </w:rPr>
        <w:t xml:space="preserve"> Prihodi od pruženih usluga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Prihodi od pruženih usluga ostvareni su u iznosu od </w:t>
      </w:r>
      <w:r w:rsidR="00D35E23">
        <w:rPr>
          <w:rFonts w:ascii="Times New Roman" w:hAnsi="Times New Roman" w:cs="Times New Roman"/>
          <w:bCs/>
        </w:rPr>
        <w:t>5.150</w:t>
      </w:r>
      <w:r w:rsidRPr="00004FD9">
        <w:rPr>
          <w:rFonts w:ascii="Times New Roman" w:hAnsi="Times New Roman" w:cs="Times New Roman"/>
          <w:bCs/>
        </w:rPr>
        <w:t xml:space="preserve"> kn.</w:t>
      </w:r>
      <w:r w:rsidR="002711F5">
        <w:rPr>
          <w:rFonts w:ascii="Times New Roman" w:hAnsi="Times New Roman" w:cs="Times New Roman"/>
          <w:bCs/>
        </w:rPr>
        <w:t xml:space="preserve"> odnose se na prihode od najma polivalentne dvorane i opreme. </w:t>
      </w:r>
      <w:r w:rsidRPr="00004FD9">
        <w:rPr>
          <w:rFonts w:ascii="Times New Roman" w:hAnsi="Times New Roman" w:cs="Times New Roman"/>
          <w:bCs/>
        </w:rPr>
        <w:t xml:space="preserve"> Prihodi su </w:t>
      </w:r>
      <w:r w:rsidR="00D35E23">
        <w:rPr>
          <w:rFonts w:ascii="Times New Roman" w:hAnsi="Times New Roman" w:cs="Times New Roman"/>
          <w:bCs/>
        </w:rPr>
        <w:t>veći</w:t>
      </w:r>
      <w:r w:rsidRPr="00004FD9">
        <w:rPr>
          <w:rFonts w:ascii="Times New Roman" w:hAnsi="Times New Roman" w:cs="Times New Roman"/>
          <w:bCs/>
        </w:rPr>
        <w:t xml:space="preserve"> za </w:t>
      </w:r>
      <w:r w:rsidR="00D35E23">
        <w:rPr>
          <w:rFonts w:ascii="Times New Roman" w:hAnsi="Times New Roman" w:cs="Times New Roman"/>
          <w:bCs/>
        </w:rPr>
        <w:t>6</w:t>
      </w:r>
      <w:r w:rsidRPr="00004FD9">
        <w:rPr>
          <w:rFonts w:ascii="Times New Roman" w:hAnsi="Times New Roman" w:cs="Times New Roman"/>
          <w:bCs/>
        </w:rPr>
        <w:t xml:space="preserve">% </w:t>
      </w:r>
      <w:r w:rsidR="00D35E23">
        <w:rPr>
          <w:rFonts w:ascii="Times New Roman" w:hAnsi="Times New Roman" w:cs="Times New Roman"/>
          <w:bCs/>
        </w:rPr>
        <w:t>u odnosu na prethodno izvještajno razdoblje.</w:t>
      </w:r>
    </w:p>
    <w:p w:rsidR="002711F5" w:rsidRDefault="002711F5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711F5">
        <w:rPr>
          <w:rFonts w:ascii="Times New Roman" w:hAnsi="Times New Roman" w:cs="Times New Roman"/>
          <w:b/>
          <w:bCs/>
        </w:rPr>
        <w:lastRenderedPageBreak/>
        <w:t>AOP 124 Tekuće donacije</w:t>
      </w:r>
    </w:p>
    <w:p w:rsidR="002711F5" w:rsidRDefault="002711F5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 Z</w:t>
      </w:r>
      <w:r w:rsidRPr="002711F5">
        <w:rPr>
          <w:rFonts w:ascii="Times New Roman" w:hAnsi="Times New Roman" w:cs="Times New Roman"/>
          <w:bCs/>
        </w:rPr>
        <w:t>aklade za poticanje partnerstva i razvoja civilnog društva</w:t>
      </w:r>
      <w:r>
        <w:rPr>
          <w:rFonts w:ascii="Times New Roman" w:hAnsi="Times New Roman" w:cs="Times New Roman"/>
          <w:bCs/>
        </w:rPr>
        <w:t xml:space="preserve"> primljeno je 25.000 kn za opremanje „Male knjižnice </w:t>
      </w:r>
      <w:proofErr w:type="spellStart"/>
      <w:r>
        <w:rPr>
          <w:rFonts w:ascii="Times New Roman" w:hAnsi="Times New Roman" w:cs="Times New Roman"/>
          <w:bCs/>
        </w:rPr>
        <w:t>Rabac</w:t>
      </w:r>
      <w:proofErr w:type="spellEnd"/>
      <w:r>
        <w:rPr>
          <w:rFonts w:ascii="Times New Roman" w:hAnsi="Times New Roman" w:cs="Times New Roman"/>
          <w:bCs/>
        </w:rPr>
        <w:t>“.</w:t>
      </w:r>
    </w:p>
    <w:p w:rsidR="002711F5" w:rsidRDefault="002711F5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711F5">
        <w:rPr>
          <w:rFonts w:ascii="Times New Roman" w:hAnsi="Times New Roman" w:cs="Times New Roman"/>
          <w:b/>
          <w:bCs/>
        </w:rPr>
        <w:t>AOP 125 Kapitalne donacije</w:t>
      </w:r>
    </w:p>
    <w:p w:rsidR="002711F5" w:rsidRPr="002711F5" w:rsidRDefault="002711F5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711F5">
        <w:rPr>
          <w:rFonts w:ascii="Times New Roman" w:hAnsi="Times New Roman" w:cs="Times New Roman"/>
          <w:bCs/>
        </w:rPr>
        <w:t>U 2022. Primljene su donacije knjiga od osoba izvan proračuna u vrijednosti 5.685 kn</w:t>
      </w:r>
      <w:r>
        <w:rPr>
          <w:rFonts w:ascii="Times New Roman" w:hAnsi="Times New Roman" w:cs="Times New Roman"/>
          <w:bCs/>
        </w:rPr>
        <w:t>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14</w:t>
      </w:r>
      <w:r w:rsidR="00D35E23">
        <w:rPr>
          <w:rFonts w:ascii="Times New Roman" w:hAnsi="Times New Roman" w:cs="Times New Roman"/>
          <w:b/>
          <w:bCs/>
        </w:rPr>
        <w:t>6</w:t>
      </w:r>
      <w:r w:rsidRPr="00004FD9">
        <w:rPr>
          <w:rFonts w:ascii="Times New Roman" w:hAnsi="Times New Roman" w:cs="Times New Roman"/>
          <w:b/>
          <w:bCs/>
        </w:rPr>
        <w:t xml:space="preserve"> Rashodi poslovanja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Rashodi poslovanja ostvareni su u iznosu od </w:t>
      </w:r>
      <w:r w:rsidR="00D35E23">
        <w:rPr>
          <w:rFonts w:ascii="Times New Roman" w:hAnsi="Times New Roman" w:cs="Times New Roman"/>
        </w:rPr>
        <w:t>829.914</w:t>
      </w:r>
      <w:r w:rsidRPr="00004FD9">
        <w:rPr>
          <w:rFonts w:ascii="Times New Roman" w:hAnsi="Times New Roman" w:cs="Times New Roman"/>
        </w:rPr>
        <w:t xml:space="preserve"> kn. Rashodi poslovanja </w:t>
      </w:r>
      <w:r w:rsidR="00D35E23">
        <w:rPr>
          <w:rFonts w:ascii="Times New Roman" w:hAnsi="Times New Roman" w:cs="Times New Roman"/>
        </w:rPr>
        <w:t xml:space="preserve">realizirani su u iznosu manjem od </w:t>
      </w:r>
      <w:r w:rsidRPr="00004FD9">
        <w:rPr>
          <w:rFonts w:ascii="Times New Roman" w:hAnsi="Times New Roman" w:cs="Times New Roman"/>
        </w:rPr>
        <w:t xml:space="preserve"> planiran</w:t>
      </w:r>
      <w:r w:rsidR="00D35E23">
        <w:rPr>
          <w:rFonts w:ascii="Times New Roman" w:hAnsi="Times New Roman" w:cs="Times New Roman"/>
        </w:rPr>
        <w:t>og</w:t>
      </w:r>
      <w:r w:rsidRPr="00004FD9">
        <w:rPr>
          <w:rFonts w:ascii="Times New Roman" w:hAnsi="Times New Roman" w:cs="Times New Roman"/>
        </w:rPr>
        <w:t>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4FD9">
        <w:rPr>
          <w:rFonts w:ascii="Times New Roman" w:hAnsi="Times New Roman" w:cs="Times New Roman"/>
          <w:b/>
        </w:rPr>
        <w:t>AOP 149 Rashodi za zaposlene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</w:rPr>
        <w:t xml:space="preserve">Rashodi za zaposlene ostvareni su u iznosu od </w:t>
      </w:r>
      <w:r w:rsidR="00D35E23">
        <w:rPr>
          <w:rFonts w:ascii="Times New Roman" w:hAnsi="Times New Roman" w:cs="Times New Roman"/>
        </w:rPr>
        <w:t>415.622</w:t>
      </w:r>
      <w:r w:rsidRPr="00004FD9">
        <w:rPr>
          <w:rFonts w:ascii="Times New Roman" w:hAnsi="Times New Roman" w:cs="Times New Roman"/>
        </w:rPr>
        <w:t xml:space="preserve"> kn te su </w:t>
      </w:r>
      <w:r w:rsidR="00D35E23">
        <w:rPr>
          <w:rFonts w:ascii="Times New Roman" w:hAnsi="Times New Roman" w:cs="Times New Roman"/>
        </w:rPr>
        <w:t xml:space="preserve">veći </w:t>
      </w:r>
      <w:r w:rsidRPr="00004FD9">
        <w:rPr>
          <w:rFonts w:ascii="Times New Roman" w:hAnsi="Times New Roman" w:cs="Times New Roman"/>
        </w:rPr>
        <w:t xml:space="preserve"> u odnosu na prethodnu godinu za 2</w:t>
      </w:r>
      <w:r w:rsidR="00D35E23">
        <w:rPr>
          <w:rFonts w:ascii="Times New Roman" w:hAnsi="Times New Roman" w:cs="Times New Roman"/>
        </w:rPr>
        <w:t>6,9</w:t>
      </w:r>
      <w:r w:rsidRPr="00004FD9">
        <w:rPr>
          <w:rFonts w:ascii="Times New Roman" w:hAnsi="Times New Roman" w:cs="Times New Roman"/>
        </w:rPr>
        <w:t xml:space="preserve"> %. </w:t>
      </w:r>
      <w:r>
        <w:rPr>
          <w:rFonts w:ascii="Times New Roman" w:hAnsi="Times New Roman" w:cs="Times New Roman"/>
        </w:rPr>
        <w:t xml:space="preserve">Razlog tome je </w:t>
      </w:r>
      <w:r w:rsidR="00D35E23">
        <w:rPr>
          <w:rFonts w:ascii="Times New Roman" w:hAnsi="Times New Roman" w:cs="Times New Roman"/>
        </w:rPr>
        <w:t>što je u 2020.</w:t>
      </w:r>
      <w:r w:rsidR="00181A72">
        <w:rPr>
          <w:rFonts w:ascii="Times New Roman" w:hAnsi="Times New Roman" w:cs="Times New Roman"/>
        </w:rPr>
        <w:t xml:space="preserve"> </w:t>
      </w:r>
      <w:r w:rsidR="00D35E23">
        <w:rPr>
          <w:rFonts w:ascii="Times New Roman" w:hAnsi="Times New Roman" w:cs="Times New Roman"/>
        </w:rPr>
        <w:t xml:space="preserve">godini iznos za plaće bio manji </w:t>
      </w:r>
      <w:r w:rsidR="00181A72">
        <w:rPr>
          <w:rFonts w:ascii="Times New Roman" w:hAnsi="Times New Roman" w:cs="Times New Roman"/>
        </w:rPr>
        <w:t xml:space="preserve">radi </w:t>
      </w:r>
      <w:r w:rsidR="00D35E23">
        <w:rPr>
          <w:rFonts w:ascii="Times New Roman" w:hAnsi="Times New Roman" w:cs="Times New Roman"/>
        </w:rPr>
        <w:t xml:space="preserve">korištenja </w:t>
      </w:r>
      <w:proofErr w:type="spellStart"/>
      <w:r w:rsidR="00884168">
        <w:rPr>
          <w:rFonts w:ascii="Times New Roman" w:hAnsi="Times New Roman" w:cs="Times New Roman"/>
        </w:rPr>
        <w:t>rodiljnog</w:t>
      </w:r>
      <w:proofErr w:type="spellEnd"/>
      <w:r w:rsidR="00D35E23">
        <w:rPr>
          <w:rFonts w:ascii="Times New Roman" w:hAnsi="Times New Roman" w:cs="Times New Roman"/>
        </w:rPr>
        <w:t xml:space="preserve"> </w:t>
      </w:r>
      <w:r w:rsidR="00181A72">
        <w:rPr>
          <w:rFonts w:ascii="Times New Roman" w:hAnsi="Times New Roman" w:cs="Times New Roman"/>
        </w:rPr>
        <w:t xml:space="preserve">i </w:t>
      </w:r>
      <w:r w:rsidR="00884168">
        <w:rPr>
          <w:rFonts w:ascii="Times New Roman" w:hAnsi="Times New Roman" w:cs="Times New Roman"/>
        </w:rPr>
        <w:t>roditeljskog dopusta jedne djelatnice.</w:t>
      </w:r>
    </w:p>
    <w:p w:rsidR="0054567A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160 Materijalni rashodi</w:t>
      </w:r>
    </w:p>
    <w:p w:rsidR="00181A72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Materijalni rashodi ostvareni su u iznosu od </w:t>
      </w:r>
      <w:r w:rsidR="00181A72">
        <w:rPr>
          <w:rFonts w:ascii="Times New Roman" w:hAnsi="Times New Roman" w:cs="Times New Roman"/>
          <w:bCs/>
        </w:rPr>
        <w:t>327.325</w:t>
      </w:r>
      <w:r w:rsidRPr="00004FD9">
        <w:rPr>
          <w:rFonts w:ascii="Times New Roman" w:hAnsi="Times New Roman" w:cs="Times New Roman"/>
          <w:bCs/>
        </w:rPr>
        <w:t xml:space="preserve"> kn što je </w:t>
      </w:r>
      <w:r w:rsidR="00181A72">
        <w:rPr>
          <w:rFonts w:ascii="Times New Roman" w:hAnsi="Times New Roman" w:cs="Times New Roman"/>
          <w:bCs/>
        </w:rPr>
        <w:t>više</w:t>
      </w:r>
      <w:r w:rsidRPr="00004FD9">
        <w:rPr>
          <w:rFonts w:ascii="Times New Roman" w:hAnsi="Times New Roman" w:cs="Times New Roman"/>
          <w:bCs/>
        </w:rPr>
        <w:t xml:space="preserve"> za </w:t>
      </w:r>
      <w:r w:rsidR="00181A72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 xml:space="preserve"> %</w:t>
      </w:r>
      <w:r w:rsidRPr="00004FD9">
        <w:rPr>
          <w:rFonts w:ascii="Times New Roman" w:hAnsi="Times New Roman" w:cs="Times New Roman"/>
          <w:bCs/>
        </w:rPr>
        <w:t xml:space="preserve"> u odnosu na prethodnu godinu. 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6D75">
        <w:rPr>
          <w:rFonts w:ascii="Times New Roman" w:hAnsi="Times New Roman" w:cs="Times New Roman"/>
          <w:b/>
          <w:bCs/>
        </w:rPr>
        <w:t>AOP 16</w:t>
      </w:r>
      <w:r w:rsidR="00181A72">
        <w:rPr>
          <w:rFonts w:ascii="Times New Roman" w:hAnsi="Times New Roman" w:cs="Times New Roman"/>
          <w:b/>
          <w:bCs/>
        </w:rPr>
        <w:t>0</w:t>
      </w:r>
      <w:r w:rsidRPr="00726D75">
        <w:rPr>
          <w:rFonts w:ascii="Times New Roman" w:hAnsi="Times New Roman" w:cs="Times New Roman"/>
          <w:b/>
          <w:bCs/>
        </w:rPr>
        <w:t xml:space="preserve"> Službena putovanja</w:t>
      </w:r>
      <w:r>
        <w:rPr>
          <w:rFonts w:ascii="Times New Roman" w:hAnsi="Times New Roman" w:cs="Times New Roman"/>
          <w:b/>
          <w:bCs/>
        </w:rPr>
        <w:t xml:space="preserve"> i AOP 16</w:t>
      </w:r>
      <w:r w:rsidR="00181A7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Stručno usavršavanje zaposlenika</w:t>
      </w:r>
    </w:p>
    <w:p w:rsidR="00181A72" w:rsidRPr="0054567A" w:rsidRDefault="00181A72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U odnosu na 2020.-tu godinu službena putovanja i stručno usavršavanje zaposlenika bilježe porast, jer   u 2020.-toj godini radi posebnih okolnosti uzrokovanih </w:t>
      </w:r>
      <w:proofErr w:type="spellStart"/>
      <w:r>
        <w:rPr>
          <w:rFonts w:ascii="Times New Roman" w:hAnsi="Times New Roman" w:cs="Times New Roman"/>
          <w:bCs/>
        </w:rPr>
        <w:t>pandemijom</w:t>
      </w:r>
      <w:proofErr w:type="spellEnd"/>
      <w:r>
        <w:rPr>
          <w:rFonts w:ascii="Times New Roman" w:hAnsi="Times New Roman" w:cs="Times New Roman"/>
          <w:bCs/>
        </w:rPr>
        <w:t xml:space="preserve"> virusa </w:t>
      </w:r>
      <w:proofErr w:type="spellStart"/>
      <w:r>
        <w:rPr>
          <w:rFonts w:ascii="Times New Roman" w:hAnsi="Times New Roman" w:cs="Times New Roman"/>
          <w:bCs/>
        </w:rPr>
        <w:t>covid</w:t>
      </w:r>
      <w:proofErr w:type="spellEnd"/>
      <w:r>
        <w:rPr>
          <w:rFonts w:ascii="Times New Roman" w:hAnsi="Times New Roman" w:cs="Times New Roman"/>
          <w:bCs/>
        </w:rPr>
        <w:t>-19, gotovo da ih i nije bilo.</w:t>
      </w:r>
    </w:p>
    <w:p w:rsidR="004C5EAC" w:rsidRDefault="004C5EAC" w:rsidP="007A42DC">
      <w:pPr>
        <w:jc w:val="both"/>
        <w:rPr>
          <w:rFonts w:ascii="Times New Roman" w:hAnsi="Times New Roman" w:cs="Times New Roman"/>
          <w:b/>
          <w:bCs/>
        </w:rPr>
      </w:pPr>
      <w:r w:rsidRPr="004C5EAC">
        <w:rPr>
          <w:rFonts w:ascii="Times New Roman" w:hAnsi="Times New Roman" w:cs="Times New Roman"/>
          <w:b/>
          <w:bCs/>
        </w:rPr>
        <w:t>AOP 16</w:t>
      </w:r>
      <w:r w:rsidR="006A5B50">
        <w:rPr>
          <w:rFonts w:ascii="Times New Roman" w:hAnsi="Times New Roman" w:cs="Times New Roman"/>
          <w:b/>
          <w:bCs/>
        </w:rPr>
        <w:t>7</w:t>
      </w:r>
      <w:r w:rsidRPr="004C5EAC">
        <w:rPr>
          <w:rFonts w:ascii="Times New Roman" w:hAnsi="Times New Roman" w:cs="Times New Roman"/>
          <w:b/>
          <w:bCs/>
        </w:rPr>
        <w:t xml:space="preserve"> Energija</w:t>
      </w:r>
    </w:p>
    <w:p w:rsidR="00860BBB" w:rsidRDefault="00181A72" w:rsidP="007A42D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Troškovi e</w:t>
      </w:r>
      <w:r w:rsidR="00860BBB">
        <w:rPr>
          <w:rFonts w:ascii="Times New Roman" w:hAnsi="Times New Roman" w:cs="Times New Roman"/>
          <w:bCs/>
        </w:rPr>
        <w:t xml:space="preserve">nergija </w:t>
      </w:r>
      <w:r>
        <w:rPr>
          <w:rFonts w:ascii="Times New Roman" w:hAnsi="Times New Roman" w:cs="Times New Roman"/>
          <w:bCs/>
        </w:rPr>
        <w:t xml:space="preserve">porasli su </w:t>
      </w:r>
      <w:r w:rsidR="00860BBB">
        <w:rPr>
          <w:rFonts w:ascii="Times New Roman" w:hAnsi="Times New Roman" w:cs="Times New Roman"/>
          <w:bCs/>
        </w:rPr>
        <w:t xml:space="preserve"> za </w:t>
      </w:r>
      <w:r>
        <w:rPr>
          <w:rFonts w:ascii="Times New Roman" w:hAnsi="Times New Roman" w:cs="Times New Roman"/>
          <w:bCs/>
        </w:rPr>
        <w:t>68,7</w:t>
      </w:r>
      <w:r w:rsidR="00860BBB">
        <w:rPr>
          <w:rFonts w:ascii="Times New Roman" w:hAnsi="Times New Roman" w:cs="Times New Roman"/>
          <w:bCs/>
        </w:rPr>
        <w:t>% u odnosu na prethodnu godinu. Razlog tome je</w:t>
      </w:r>
      <w:r>
        <w:rPr>
          <w:rFonts w:ascii="Times New Roman" w:hAnsi="Times New Roman" w:cs="Times New Roman"/>
          <w:bCs/>
        </w:rPr>
        <w:t xml:space="preserve"> što je u 2020.-toj godini bila</w:t>
      </w:r>
      <w:r w:rsidR="00860BBB">
        <w:rPr>
          <w:rFonts w:ascii="Times New Roman" w:hAnsi="Times New Roman" w:cs="Times New Roman"/>
          <w:bCs/>
        </w:rPr>
        <w:t xml:space="preserve"> zatvorena knjižnica u periodu od mjesec dana </w:t>
      </w:r>
      <w:r>
        <w:rPr>
          <w:rFonts w:ascii="Times New Roman" w:hAnsi="Times New Roman" w:cs="Times New Roman"/>
          <w:bCs/>
        </w:rPr>
        <w:t>te je bila na snazi</w:t>
      </w:r>
      <w:r w:rsidR="00884168">
        <w:rPr>
          <w:rFonts w:ascii="Times New Roman" w:hAnsi="Times New Roman" w:cs="Times New Roman"/>
          <w:bCs/>
        </w:rPr>
        <w:t>, sukladno mjerama</w:t>
      </w:r>
      <w:r w:rsidR="00510EE0">
        <w:rPr>
          <w:rFonts w:ascii="Times New Roman" w:hAnsi="Times New Roman" w:cs="Times New Roman"/>
          <w:bCs/>
        </w:rPr>
        <w:t>,</w:t>
      </w:r>
      <w:r w:rsidR="00884168">
        <w:rPr>
          <w:rFonts w:ascii="Times New Roman" w:hAnsi="Times New Roman" w:cs="Times New Roman"/>
          <w:bCs/>
        </w:rPr>
        <w:t xml:space="preserve"> zabrana uključivanja sustava klimatizacije i ventilacije u ljetnim mjesecima.</w:t>
      </w:r>
      <w:r w:rsidR="00510EE0">
        <w:rPr>
          <w:rFonts w:ascii="Times New Roman" w:hAnsi="Times New Roman" w:cs="Times New Roman"/>
          <w:bCs/>
        </w:rPr>
        <w:t xml:space="preserve"> Povrh toga, krajem 2021.-godine dolazi do velikog skoka u cijeni električne energije što je značajno povećalo troškove energije.</w:t>
      </w:r>
    </w:p>
    <w:p w:rsidR="00724D98" w:rsidRDefault="00724D98" w:rsidP="007A42DC">
      <w:pPr>
        <w:jc w:val="both"/>
        <w:rPr>
          <w:rFonts w:ascii="Times New Roman" w:hAnsi="Times New Roman" w:cs="Times New Roman"/>
          <w:b/>
          <w:bCs/>
        </w:rPr>
      </w:pPr>
      <w:r w:rsidRPr="00724D98">
        <w:rPr>
          <w:rFonts w:ascii="Times New Roman" w:hAnsi="Times New Roman" w:cs="Times New Roman"/>
          <w:b/>
          <w:bCs/>
        </w:rPr>
        <w:t>AOP 17</w:t>
      </w:r>
      <w:r w:rsidR="006A5B50">
        <w:rPr>
          <w:rFonts w:ascii="Times New Roman" w:hAnsi="Times New Roman" w:cs="Times New Roman"/>
          <w:b/>
          <w:bCs/>
        </w:rPr>
        <w:t>4</w:t>
      </w:r>
      <w:r w:rsidRPr="00724D98">
        <w:rPr>
          <w:rFonts w:ascii="Times New Roman" w:hAnsi="Times New Roman" w:cs="Times New Roman"/>
          <w:b/>
          <w:bCs/>
        </w:rPr>
        <w:t xml:space="preserve"> Usluge tekućeg i investicijskog održavanja</w:t>
      </w:r>
    </w:p>
    <w:p w:rsidR="00924036" w:rsidRDefault="00724D98" w:rsidP="007A42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Usluge tekućeg i investicijskog održavanja iznose </w:t>
      </w:r>
      <w:r w:rsidR="00510EE0">
        <w:rPr>
          <w:rFonts w:ascii="Times New Roman" w:hAnsi="Times New Roman" w:cs="Times New Roman"/>
        </w:rPr>
        <w:t>30.167</w:t>
      </w:r>
      <w:r>
        <w:rPr>
          <w:rFonts w:ascii="Times New Roman" w:hAnsi="Times New Roman" w:cs="Times New Roman"/>
        </w:rPr>
        <w:t xml:space="preserve"> kn i bilježe </w:t>
      </w:r>
      <w:r w:rsidR="00510EE0">
        <w:rPr>
          <w:rFonts w:ascii="Times New Roman" w:hAnsi="Times New Roman" w:cs="Times New Roman"/>
        </w:rPr>
        <w:t>povećanje</w:t>
      </w:r>
      <w:r>
        <w:rPr>
          <w:rFonts w:ascii="Times New Roman" w:hAnsi="Times New Roman" w:cs="Times New Roman"/>
        </w:rPr>
        <w:t xml:space="preserve"> od </w:t>
      </w:r>
      <w:r w:rsidR="00510EE0">
        <w:rPr>
          <w:rFonts w:ascii="Times New Roman" w:hAnsi="Times New Roman" w:cs="Times New Roman"/>
        </w:rPr>
        <w:t>29,37% jer je bilo potrebno sanirati vrata</w:t>
      </w:r>
      <w:r w:rsidR="00510EE0">
        <w:rPr>
          <w:rFonts w:ascii="Times New Roman" w:hAnsi="Times New Roman" w:cs="Times New Roman"/>
          <w:b/>
        </w:rPr>
        <w:t xml:space="preserve"> </w:t>
      </w:r>
      <w:r w:rsidR="00510EE0" w:rsidRPr="00510EE0">
        <w:rPr>
          <w:rFonts w:ascii="Times New Roman" w:hAnsi="Times New Roman" w:cs="Times New Roman"/>
        </w:rPr>
        <w:t>nakon provale</w:t>
      </w:r>
      <w:r w:rsidR="00510EE0">
        <w:rPr>
          <w:rFonts w:ascii="Times New Roman" w:hAnsi="Times New Roman" w:cs="Times New Roman"/>
        </w:rPr>
        <w:t>.</w:t>
      </w:r>
    </w:p>
    <w:p w:rsidR="003374C7" w:rsidRDefault="003374C7" w:rsidP="007A42DC">
      <w:pPr>
        <w:jc w:val="both"/>
        <w:rPr>
          <w:rFonts w:ascii="Times New Roman" w:hAnsi="Times New Roman" w:cs="Times New Roman"/>
          <w:b/>
        </w:rPr>
      </w:pPr>
      <w:r w:rsidRPr="003374C7">
        <w:rPr>
          <w:rFonts w:ascii="Times New Roman" w:hAnsi="Times New Roman" w:cs="Times New Roman"/>
          <w:b/>
        </w:rPr>
        <w:t>AOP 18</w:t>
      </w:r>
      <w:r w:rsidR="006A5B50">
        <w:rPr>
          <w:rFonts w:ascii="Times New Roman" w:hAnsi="Times New Roman" w:cs="Times New Roman"/>
          <w:b/>
        </w:rPr>
        <w:t>2</w:t>
      </w:r>
      <w:r w:rsidRPr="003374C7">
        <w:rPr>
          <w:rFonts w:ascii="Times New Roman" w:hAnsi="Times New Roman" w:cs="Times New Roman"/>
          <w:b/>
        </w:rPr>
        <w:t xml:space="preserve"> Naknade troškova osobama izvan radnog odnosa</w:t>
      </w:r>
    </w:p>
    <w:p w:rsidR="003374C7" w:rsidRDefault="003374C7" w:rsidP="007A42DC">
      <w:pPr>
        <w:jc w:val="both"/>
        <w:rPr>
          <w:rFonts w:ascii="Times New Roman" w:hAnsi="Times New Roman" w:cs="Times New Roman"/>
        </w:rPr>
      </w:pPr>
      <w:r w:rsidRPr="003374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aknade troškova osobama izvan radnog odnosa iznose </w:t>
      </w:r>
      <w:r w:rsidR="00510EE0">
        <w:rPr>
          <w:rFonts w:ascii="Times New Roman" w:hAnsi="Times New Roman" w:cs="Times New Roman"/>
        </w:rPr>
        <w:t>2.602</w:t>
      </w:r>
      <w:r>
        <w:rPr>
          <w:rFonts w:ascii="Times New Roman" w:hAnsi="Times New Roman" w:cs="Times New Roman"/>
        </w:rPr>
        <w:t xml:space="preserve"> kn</w:t>
      </w:r>
      <w:r w:rsidR="006A5B50">
        <w:rPr>
          <w:rFonts w:ascii="Times New Roman" w:hAnsi="Times New Roman" w:cs="Times New Roman"/>
        </w:rPr>
        <w:t xml:space="preserve">, a  odnose se na </w:t>
      </w:r>
      <w:r>
        <w:rPr>
          <w:rFonts w:ascii="Times New Roman" w:hAnsi="Times New Roman" w:cs="Times New Roman"/>
        </w:rPr>
        <w:t>isplat</w:t>
      </w:r>
      <w:r w:rsidR="006A5B5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putnih troškova </w:t>
      </w:r>
      <w:r w:rsidR="006A5B50">
        <w:rPr>
          <w:rFonts w:ascii="Times New Roman" w:hAnsi="Times New Roman" w:cs="Times New Roman"/>
        </w:rPr>
        <w:t>za održavanje književnih susreta.</w:t>
      </w:r>
    </w:p>
    <w:p w:rsidR="00E04A58" w:rsidRDefault="00E04A58" w:rsidP="007A42DC">
      <w:pPr>
        <w:jc w:val="both"/>
        <w:rPr>
          <w:rFonts w:ascii="Times New Roman" w:hAnsi="Times New Roman" w:cs="Times New Roman"/>
          <w:b/>
        </w:rPr>
      </w:pPr>
      <w:r w:rsidRPr="00E04A58">
        <w:rPr>
          <w:rFonts w:ascii="Times New Roman" w:hAnsi="Times New Roman" w:cs="Times New Roman"/>
          <w:b/>
        </w:rPr>
        <w:lastRenderedPageBreak/>
        <w:t>AOP 1</w:t>
      </w:r>
      <w:r w:rsidR="002A53CB">
        <w:rPr>
          <w:rFonts w:ascii="Times New Roman" w:hAnsi="Times New Roman" w:cs="Times New Roman"/>
          <w:b/>
        </w:rPr>
        <w:t>88</w:t>
      </w:r>
      <w:r w:rsidRPr="00E04A58">
        <w:rPr>
          <w:rFonts w:ascii="Times New Roman" w:hAnsi="Times New Roman" w:cs="Times New Roman"/>
          <w:b/>
        </w:rPr>
        <w:t xml:space="preserve"> Pristojbe i naknade</w:t>
      </w:r>
    </w:p>
    <w:p w:rsidR="00E04A58" w:rsidRPr="00E04A58" w:rsidRDefault="006A5B50" w:rsidP="007A42D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Odnose se na sudske pristojbe i javnobilježničke naknade za ovjeru potpisa i službenih dokumenata.</w:t>
      </w:r>
    </w:p>
    <w:p w:rsidR="007A42DC" w:rsidRDefault="007A42DC" w:rsidP="004C5EA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4C5EAC" w:rsidRPr="00004FD9">
        <w:rPr>
          <w:rFonts w:ascii="Times New Roman" w:hAnsi="Times New Roman" w:cs="Times New Roman"/>
          <w:b/>
        </w:rPr>
        <w:t>OP 19</w:t>
      </w:r>
      <w:r w:rsidR="002A53CB">
        <w:rPr>
          <w:rFonts w:ascii="Times New Roman" w:hAnsi="Times New Roman" w:cs="Times New Roman"/>
          <w:b/>
        </w:rPr>
        <w:t>1</w:t>
      </w:r>
      <w:r w:rsidR="004C5EAC" w:rsidRPr="00004FD9">
        <w:rPr>
          <w:rFonts w:ascii="Times New Roman" w:hAnsi="Times New Roman" w:cs="Times New Roman"/>
          <w:b/>
        </w:rPr>
        <w:t xml:space="preserve"> Financijski rashodi</w:t>
      </w:r>
    </w:p>
    <w:p w:rsidR="004C5EAC" w:rsidRPr="00004FD9" w:rsidRDefault="004C5EAC" w:rsidP="004C5EA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Financijski rashodi su </w:t>
      </w:r>
      <w:r w:rsidR="006A5B50">
        <w:rPr>
          <w:rFonts w:ascii="Times New Roman" w:hAnsi="Times New Roman" w:cs="Times New Roman"/>
        </w:rPr>
        <w:t>veći</w:t>
      </w:r>
      <w:r w:rsidRPr="00004FD9">
        <w:rPr>
          <w:rFonts w:ascii="Times New Roman" w:hAnsi="Times New Roman" w:cs="Times New Roman"/>
        </w:rPr>
        <w:t xml:space="preserve"> u odnosu na prošlu godinu za </w:t>
      </w:r>
      <w:r w:rsidR="006A5B50">
        <w:rPr>
          <w:rFonts w:ascii="Times New Roman" w:hAnsi="Times New Roman" w:cs="Times New Roman"/>
        </w:rPr>
        <w:t>51</w:t>
      </w:r>
      <w:r w:rsidR="00717F65">
        <w:rPr>
          <w:rFonts w:ascii="Times New Roman" w:hAnsi="Times New Roman" w:cs="Times New Roman"/>
        </w:rPr>
        <w:t xml:space="preserve">%, a odnose se </w:t>
      </w:r>
      <w:r w:rsidR="006A5B50">
        <w:rPr>
          <w:rFonts w:ascii="Times New Roman" w:hAnsi="Times New Roman" w:cs="Times New Roman"/>
        </w:rPr>
        <w:t>naknade za uslugu banaka, te FINE.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34</w:t>
      </w:r>
      <w:r w:rsidR="002A53CB">
        <w:rPr>
          <w:rFonts w:ascii="Times New Roman" w:hAnsi="Times New Roman" w:cs="Times New Roman"/>
          <w:b/>
          <w:bCs/>
        </w:rPr>
        <w:t>4</w:t>
      </w:r>
      <w:r w:rsidRPr="00004FD9">
        <w:rPr>
          <w:rFonts w:ascii="Times New Roman" w:hAnsi="Times New Roman" w:cs="Times New Roman"/>
          <w:b/>
          <w:bCs/>
        </w:rPr>
        <w:t xml:space="preserve"> Rashodi za nabavu nefinancijske imovine</w:t>
      </w:r>
    </w:p>
    <w:p w:rsidR="00287F65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Rashodi su ostvarenu u iznosu od </w:t>
      </w:r>
      <w:r w:rsidR="002A53CB">
        <w:rPr>
          <w:rFonts w:ascii="Times New Roman" w:hAnsi="Times New Roman" w:cs="Times New Roman"/>
        </w:rPr>
        <w:t>175.449</w:t>
      </w:r>
      <w:r w:rsidR="00287F65">
        <w:rPr>
          <w:rFonts w:ascii="Times New Roman" w:hAnsi="Times New Roman" w:cs="Times New Roman"/>
        </w:rPr>
        <w:t xml:space="preserve"> </w:t>
      </w:r>
      <w:r w:rsidR="002A53CB">
        <w:rPr>
          <w:rFonts w:ascii="Times New Roman" w:hAnsi="Times New Roman" w:cs="Times New Roman"/>
        </w:rPr>
        <w:t>kn. O</w:t>
      </w:r>
      <w:r w:rsidR="00287F65">
        <w:rPr>
          <w:rFonts w:ascii="Times New Roman" w:hAnsi="Times New Roman" w:cs="Times New Roman"/>
        </w:rPr>
        <w:t xml:space="preserve">dnose se na nabavu </w:t>
      </w:r>
      <w:r w:rsidR="002A53CB">
        <w:rPr>
          <w:rFonts w:ascii="Times New Roman" w:hAnsi="Times New Roman" w:cs="Times New Roman"/>
        </w:rPr>
        <w:t xml:space="preserve"> računala, MS Officea i skenera u vrijednosti 16.129 kn , 4 regala za knjige za opremanje „Male knjižnice </w:t>
      </w:r>
      <w:proofErr w:type="spellStart"/>
      <w:r w:rsidR="002A53CB">
        <w:rPr>
          <w:rFonts w:ascii="Times New Roman" w:hAnsi="Times New Roman" w:cs="Times New Roman"/>
        </w:rPr>
        <w:t>Rabac</w:t>
      </w:r>
      <w:proofErr w:type="spellEnd"/>
      <w:r w:rsidR="002A53CB">
        <w:rPr>
          <w:rFonts w:ascii="Times New Roman" w:hAnsi="Times New Roman" w:cs="Times New Roman"/>
        </w:rPr>
        <w:t xml:space="preserve">“ u vrijednosti 17.700 kn ( AOP 364), </w:t>
      </w:r>
      <w:r w:rsidR="00287F65">
        <w:rPr>
          <w:rFonts w:ascii="Times New Roman" w:hAnsi="Times New Roman" w:cs="Times New Roman"/>
        </w:rPr>
        <w:t>knjižne građe</w:t>
      </w:r>
      <w:r w:rsidR="002A53CB">
        <w:rPr>
          <w:rFonts w:ascii="Times New Roman" w:hAnsi="Times New Roman" w:cs="Times New Roman"/>
        </w:rPr>
        <w:t xml:space="preserve"> u iznosu od 140.714 kn (AOP 378)</w:t>
      </w:r>
      <w:r w:rsidR="00A26914">
        <w:rPr>
          <w:rFonts w:ascii="Times New Roman" w:hAnsi="Times New Roman" w:cs="Times New Roman"/>
        </w:rPr>
        <w:t>, te 906 kn za antivirusni program.</w:t>
      </w:r>
    </w:p>
    <w:p w:rsidR="00287F65" w:rsidRDefault="00287F65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7F65">
        <w:rPr>
          <w:rFonts w:ascii="Times New Roman" w:hAnsi="Times New Roman" w:cs="Times New Roman"/>
          <w:b/>
        </w:rPr>
        <w:t>AOP 63</w:t>
      </w:r>
      <w:r w:rsidR="00A26914">
        <w:rPr>
          <w:rFonts w:ascii="Times New Roman" w:hAnsi="Times New Roman" w:cs="Times New Roman"/>
          <w:b/>
        </w:rPr>
        <w:t>5</w:t>
      </w:r>
      <w:r w:rsidRPr="00287F65">
        <w:rPr>
          <w:rFonts w:ascii="Times New Roman" w:hAnsi="Times New Roman" w:cs="Times New Roman"/>
          <w:b/>
        </w:rPr>
        <w:t xml:space="preserve"> Manjak prihoda i primitaka</w:t>
      </w:r>
    </w:p>
    <w:p w:rsidR="00A26914" w:rsidRDefault="00287F65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287F65">
        <w:rPr>
          <w:rFonts w:ascii="Times New Roman" w:hAnsi="Times New Roman" w:cs="Times New Roman"/>
        </w:rPr>
        <w:t xml:space="preserve">Manjak prihoda </w:t>
      </w:r>
      <w:r>
        <w:rPr>
          <w:rFonts w:ascii="Times New Roman" w:hAnsi="Times New Roman" w:cs="Times New Roman"/>
        </w:rPr>
        <w:t xml:space="preserve"> </w:t>
      </w:r>
      <w:r w:rsidR="007D0993">
        <w:rPr>
          <w:rFonts w:ascii="Times New Roman" w:hAnsi="Times New Roman" w:cs="Times New Roman"/>
        </w:rPr>
        <w:t xml:space="preserve">tekuće godine </w:t>
      </w:r>
      <w:r>
        <w:rPr>
          <w:rFonts w:ascii="Times New Roman" w:hAnsi="Times New Roman" w:cs="Times New Roman"/>
        </w:rPr>
        <w:t xml:space="preserve">iznosi </w:t>
      </w:r>
      <w:r w:rsidR="00A26914">
        <w:rPr>
          <w:rFonts w:ascii="Times New Roman" w:hAnsi="Times New Roman" w:cs="Times New Roman"/>
        </w:rPr>
        <w:t>57.672</w:t>
      </w:r>
      <w:r>
        <w:rPr>
          <w:rFonts w:ascii="Times New Roman" w:hAnsi="Times New Roman" w:cs="Times New Roman"/>
        </w:rPr>
        <w:t xml:space="preserve"> kn.</w:t>
      </w:r>
      <w:r w:rsidR="00A26914">
        <w:rPr>
          <w:rFonts w:ascii="Times New Roman" w:hAnsi="Times New Roman" w:cs="Times New Roman"/>
        </w:rPr>
        <w:t xml:space="preserve"> 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63</w:t>
      </w:r>
      <w:r w:rsidR="009F429D">
        <w:rPr>
          <w:rFonts w:ascii="Times New Roman" w:hAnsi="Times New Roman" w:cs="Times New Roman"/>
          <w:b/>
          <w:bCs/>
        </w:rPr>
        <w:t>6</w:t>
      </w:r>
      <w:r w:rsidR="00A26914">
        <w:rPr>
          <w:rFonts w:ascii="Times New Roman" w:hAnsi="Times New Roman" w:cs="Times New Roman"/>
          <w:b/>
          <w:bCs/>
        </w:rPr>
        <w:t xml:space="preserve"> Višak</w:t>
      </w:r>
      <w:r w:rsidRPr="00004FD9">
        <w:rPr>
          <w:rFonts w:ascii="Times New Roman" w:hAnsi="Times New Roman" w:cs="Times New Roman"/>
          <w:b/>
          <w:bCs/>
        </w:rPr>
        <w:t xml:space="preserve"> prihoda i primitaka – preneseni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Višak prihoda i primitaka – preneseni iz prethodne godine iznosi </w:t>
      </w:r>
      <w:r w:rsidR="00A26914">
        <w:rPr>
          <w:rFonts w:ascii="Times New Roman" w:hAnsi="Times New Roman" w:cs="Times New Roman"/>
        </w:rPr>
        <w:t>49.697</w:t>
      </w:r>
      <w:r w:rsidRPr="00004FD9">
        <w:rPr>
          <w:rFonts w:ascii="Times New Roman" w:hAnsi="Times New Roman" w:cs="Times New Roman"/>
        </w:rPr>
        <w:t xml:space="preserve"> kn.</w:t>
      </w:r>
    </w:p>
    <w:p w:rsidR="004C5EAC" w:rsidRPr="009F6778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6778">
        <w:rPr>
          <w:rFonts w:ascii="Times New Roman" w:hAnsi="Times New Roman" w:cs="Times New Roman"/>
          <w:b/>
          <w:bCs/>
        </w:rPr>
        <w:t>AOP 63</w:t>
      </w:r>
      <w:r w:rsidR="009F429D">
        <w:rPr>
          <w:rFonts w:ascii="Times New Roman" w:hAnsi="Times New Roman" w:cs="Times New Roman"/>
          <w:b/>
          <w:bCs/>
        </w:rPr>
        <w:t>9</w:t>
      </w:r>
      <w:r w:rsidRPr="009F6778">
        <w:rPr>
          <w:rFonts w:ascii="Times New Roman" w:hAnsi="Times New Roman" w:cs="Times New Roman"/>
          <w:b/>
          <w:bCs/>
        </w:rPr>
        <w:t xml:space="preserve">  </w:t>
      </w:r>
      <w:r w:rsidR="00A26914">
        <w:rPr>
          <w:rFonts w:ascii="Times New Roman" w:hAnsi="Times New Roman" w:cs="Times New Roman"/>
          <w:b/>
          <w:bCs/>
        </w:rPr>
        <w:t>Manjak</w:t>
      </w:r>
      <w:r w:rsidRPr="009F6778">
        <w:rPr>
          <w:rFonts w:ascii="Times New Roman" w:hAnsi="Times New Roman" w:cs="Times New Roman"/>
          <w:b/>
          <w:bCs/>
        </w:rPr>
        <w:t xml:space="preserve"> prihoda i primitka </w:t>
      </w:r>
      <w:r w:rsidR="00A26914">
        <w:rPr>
          <w:rFonts w:ascii="Times New Roman" w:hAnsi="Times New Roman" w:cs="Times New Roman"/>
          <w:b/>
          <w:bCs/>
        </w:rPr>
        <w:t>za pokriće</w:t>
      </w:r>
      <w:r w:rsidRPr="009F6778">
        <w:rPr>
          <w:rFonts w:ascii="Times New Roman" w:hAnsi="Times New Roman" w:cs="Times New Roman"/>
          <w:b/>
          <w:bCs/>
        </w:rPr>
        <w:t xml:space="preserve"> u sljedećem razdoblju</w:t>
      </w:r>
    </w:p>
    <w:p w:rsidR="00A26914" w:rsidRPr="00287F65" w:rsidRDefault="00A26914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 poslovanja za 2021. godinu je manjak u iznosu 7.97</w:t>
      </w:r>
      <w:r w:rsidR="009F42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kn. Sastoji se od metodološkog manjka po izvoru financiranja 1.1 – Opći prihodi i primici – </w:t>
      </w:r>
      <w:r w:rsidR="009F429D">
        <w:rPr>
          <w:rFonts w:ascii="Times New Roman" w:hAnsi="Times New Roman" w:cs="Times New Roman"/>
        </w:rPr>
        <w:t xml:space="preserve">koji se odnosi na </w:t>
      </w:r>
      <w:r>
        <w:rPr>
          <w:rFonts w:ascii="Times New Roman" w:hAnsi="Times New Roman" w:cs="Times New Roman"/>
        </w:rPr>
        <w:t>sredstva Grada Labina kojima su podmirene obveze iz 12/2021 u mjesecu siječnju 2022. godine u visini 68.281 kn, te viška prihoda i primitaka po ostalim izvorima financiranja u visini 60.30</w:t>
      </w:r>
      <w:r w:rsidR="009F429D">
        <w:rPr>
          <w:rFonts w:ascii="Times New Roman" w:hAnsi="Times New Roman" w:cs="Times New Roman"/>
        </w:rPr>
        <w:t>6 kn.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BILANCU</w:t>
      </w:r>
    </w:p>
    <w:p w:rsidR="009F429D" w:rsidRDefault="009F429D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429D">
        <w:rPr>
          <w:rFonts w:ascii="Times New Roman" w:hAnsi="Times New Roman" w:cs="Times New Roman"/>
          <w:b/>
          <w:bCs/>
        </w:rPr>
        <w:t>AOP 015</w:t>
      </w:r>
      <w:r w:rsidR="007927A2">
        <w:rPr>
          <w:rFonts w:ascii="Times New Roman" w:hAnsi="Times New Roman" w:cs="Times New Roman"/>
          <w:b/>
          <w:bCs/>
        </w:rPr>
        <w:t xml:space="preserve"> U</w:t>
      </w:r>
      <w:r>
        <w:rPr>
          <w:rFonts w:ascii="Times New Roman" w:hAnsi="Times New Roman" w:cs="Times New Roman"/>
          <w:b/>
          <w:bCs/>
        </w:rPr>
        <w:t>redska oprema i namještaj</w:t>
      </w:r>
      <w:r w:rsidR="007927A2">
        <w:rPr>
          <w:rFonts w:ascii="Times New Roman" w:hAnsi="Times New Roman" w:cs="Times New Roman"/>
          <w:b/>
          <w:bCs/>
        </w:rPr>
        <w:t xml:space="preserve"> i AOP 017 Oprema za održavanje i zaštitu</w:t>
      </w:r>
    </w:p>
    <w:p w:rsidR="009F429D" w:rsidRDefault="009F429D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9F429D">
        <w:rPr>
          <w:rFonts w:ascii="Times New Roman" w:hAnsi="Times New Roman" w:cs="Times New Roman"/>
          <w:bCs/>
        </w:rPr>
        <w:t xml:space="preserve">Nabavljena je </w:t>
      </w:r>
      <w:r>
        <w:rPr>
          <w:rFonts w:ascii="Times New Roman" w:hAnsi="Times New Roman" w:cs="Times New Roman"/>
          <w:bCs/>
        </w:rPr>
        <w:t xml:space="preserve">nova </w:t>
      </w:r>
      <w:r w:rsidRPr="009F429D">
        <w:rPr>
          <w:rFonts w:ascii="Times New Roman" w:hAnsi="Times New Roman" w:cs="Times New Roman"/>
          <w:bCs/>
        </w:rPr>
        <w:t>oprema</w:t>
      </w:r>
      <w:r>
        <w:rPr>
          <w:rFonts w:ascii="Times New Roman" w:hAnsi="Times New Roman" w:cs="Times New Roman"/>
          <w:bCs/>
        </w:rPr>
        <w:t xml:space="preserve"> u vrijednosti 33.829 kn </w:t>
      </w:r>
      <w:r w:rsidR="007927A2">
        <w:rPr>
          <w:rFonts w:ascii="Times New Roman" w:hAnsi="Times New Roman" w:cs="Times New Roman"/>
          <w:bCs/>
        </w:rPr>
        <w:t xml:space="preserve">- </w:t>
      </w:r>
      <w:r w:rsidR="007927A2">
        <w:rPr>
          <w:rFonts w:ascii="Times New Roman" w:hAnsi="Times New Roman" w:cs="Times New Roman"/>
        </w:rPr>
        <w:t xml:space="preserve">računalo, MS Office i skener u vrijednosti 16.129 kn , 4 regala za knjige za opremanje „Male knjižnice </w:t>
      </w:r>
      <w:proofErr w:type="spellStart"/>
      <w:r w:rsidR="007927A2">
        <w:rPr>
          <w:rFonts w:ascii="Times New Roman" w:hAnsi="Times New Roman" w:cs="Times New Roman"/>
        </w:rPr>
        <w:t>Rabac</w:t>
      </w:r>
      <w:proofErr w:type="spellEnd"/>
      <w:r w:rsidR="007927A2">
        <w:rPr>
          <w:rFonts w:ascii="Times New Roman" w:hAnsi="Times New Roman" w:cs="Times New Roman"/>
        </w:rPr>
        <w:t>“ u vrijednosti 17.700 kn, knjižna građa u iznosu od 140.714 kn , te 906 kn antivirusni program. Iz Evidencije dugotrajne imovine isknjižena je imovina u vrijednosti 19.729 kn, te je knjižen ispravak knjiženja – prijenos s konta 0223 (AOP 017) na konto 0221 u vrijednosti 10.745 radi usklađenja Evidencije dugotrajne imovine i Glavne knjige.</w:t>
      </w:r>
    </w:p>
    <w:p w:rsidR="007927A2" w:rsidRDefault="007927A2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27A2">
        <w:rPr>
          <w:rFonts w:ascii="Times New Roman" w:hAnsi="Times New Roman" w:cs="Times New Roman"/>
          <w:b/>
          <w:bCs/>
        </w:rPr>
        <w:t xml:space="preserve">AOP 031 </w:t>
      </w:r>
      <w:r w:rsidR="00F95B5A">
        <w:rPr>
          <w:rFonts w:ascii="Times New Roman" w:hAnsi="Times New Roman" w:cs="Times New Roman"/>
          <w:b/>
          <w:bCs/>
        </w:rPr>
        <w:t>K</w:t>
      </w:r>
      <w:r w:rsidRPr="007927A2">
        <w:rPr>
          <w:rFonts w:ascii="Times New Roman" w:hAnsi="Times New Roman" w:cs="Times New Roman"/>
          <w:b/>
          <w:bCs/>
        </w:rPr>
        <w:t>njige</w:t>
      </w:r>
      <w:r w:rsidR="00F95B5A">
        <w:rPr>
          <w:rFonts w:ascii="Times New Roman" w:hAnsi="Times New Roman" w:cs="Times New Roman"/>
          <w:b/>
          <w:bCs/>
        </w:rPr>
        <w:t xml:space="preserve"> i AOP 032 Umjetnička djela</w:t>
      </w:r>
    </w:p>
    <w:p w:rsidR="00F95B5A" w:rsidRDefault="00F95B5A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F95B5A">
        <w:rPr>
          <w:rFonts w:ascii="Times New Roman" w:hAnsi="Times New Roman" w:cs="Times New Roman"/>
          <w:bCs/>
        </w:rPr>
        <w:t xml:space="preserve">Nabavljene su </w:t>
      </w:r>
      <w:r>
        <w:rPr>
          <w:rFonts w:ascii="Times New Roman" w:hAnsi="Times New Roman" w:cs="Times New Roman"/>
          <w:bCs/>
        </w:rPr>
        <w:t>nove knjige u vrijednosti 135.0</w:t>
      </w:r>
      <w:r w:rsidR="00BA4891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kn. Pomoći iz drugih proračuna iznose : MKIM – knjige iz  otkupa 72.58</w:t>
      </w:r>
      <w:r w:rsidR="00BA4891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kn; IŽ - knjige iz otkupa 2.042 kn; donacije knjiga ostalih osoba iznose 5.685 kn.</w:t>
      </w:r>
    </w:p>
    <w:p w:rsidR="00F95B5A" w:rsidRDefault="00F95B5A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Temeljem redovitog godišnjeg otpisa</w:t>
      </w:r>
      <w:r w:rsidR="00BA4891">
        <w:rPr>
          <w:rFonts w:ascii="Times New Roman" w:hAnsi="Times New Roman" w:cs="Times New Roman"/>
          <w:bCs/>
        </w:rPr>
        <w:t>, otpisano je i isknjiženo knjiga u vrijednosti 42.205 kn.</w:t>
      </w:r>
    </w:p>
    <w:p w:rsidR="00BA4891" w:rsidRPr="00F95B5A" w:rsidRDefault="00BA4891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Proveden je ispravak knjiženja sa konta 0242 na konto 0241 u iznosu 19.305 kn.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  <w:b/>
          <w:bCs/>
        </w:rPr>
        <w:t xml:space="preserve">AOP 049 Sitni inventar u upotrebi </w:t>
      </w:r>
    </w:p>
    <w:p w:rsidR="004C5EAC" w:rsidRDefault="00511D96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Nabavljen je sitan inventar u vrijednosti 916 kn.</w:t>
      </w:r>
    </w:p>
    <w:p w:rsidR="00511D96" w:rsidRDefault="00511D96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11D96">
        <w:rPr>
          <w:rFonts w:ascii="Times New Roman" w:hAnsi="Times New Roman" w:cs="Times New Roman"/>
          <w:b/>
        </w:rPr>
        <w:t>AOP 129 Ostala potraživanja</w:t>
      </w:r>
    </w:p>
    <w:p w:rsidR="00511D96" w:rsidRDefault="00511D96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511D96">
        <w:rPr>
          <w:rFonts w:ascii="Times New Roman" w:hAnsi="Times New Roman" w:cs="Times New Roman"/>
        </w:rPr>
        <w:t>Odnosi se na potraživanje prema Gradu Labinu</w:t>
      </w:r>
      <w:r>
        <w:rPr>
          <w:rFonts w:ascii="Times New Roman" w:hAnsi="Times New Roman" w:cs="Times New Roman"/>
        </w:rPr>
        <w:t xml:space="preserve"> 20.000</w:t>
      </w:r>
      <w:r w:rsidR="00EA0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 iz početnog stanja, 1.281 kn potraživanje za refundaciju bolovanja od HZZO za Anu </w:t>
      </w:r>
      <w:proofErr w:type="spellStart"/>
      <w:r>
        <w:rPr>
          <w:rFonts w:ascii="Times New Roman" w:hAnsi="Times New Roman" w:cs="Times New Roman"/>
        </w:rPr>
        <w:t>Tumpić</w:t>
      </w:r>
      <w:proofErr w:type="spellEnd"/>
      <w:r>
        <w:rPr>
          <w:rFonts w:ascii="Times New Roman" w:hAnsi="Times New Roman" w:cs="Times New Roman"/>
        </w:rPr>
        <w:t xml:space="preserve"> Radović za studeni i prosinac 2021.godine.</w:t>
      </w:r>
    </w:p>
    <w:p w:rsidR="00511D96" w:rsidRDefault="00511D96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11D96">
        <w:rPr>
          <w:rFonts w:ascii="Times New Roman" w:hAnsi="Times New Roman" w:cs="Times New Roman"/>
          <w:b/>
        </w:rPr>
        <w:t>AOP 155 Potraživanje za prihode od prodaje proizvoda i pruženih usluga</w:t>
      </w:r>
    </w:p>
    <w:p w:rsidR="00511D96" w:rsidRPr="00511D96" w:rsidRDefault="00511D96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511D96">
        <w:rPr>
          <w:rFonts w:ascii="Times New Roman" w:hAnsi="Times New Roman" w:cs="Times New Roman"/>
        </w:rPr>
        <w:t xml:space="preserve">Odnosi se na </w:t>
      </w:r>
      <w:r>
        <w:rPr>
          <w:rFonts w:ascii="Times New Roman" w:hAnsi="Times New Roman" w:cs="Times New Roman"/>
        </w:rPr>
        <w:t>neplaćeni račun za uslugu najma dvorane za 12/21. – Mediteranski kiparski simpozij.</w:t>
      </w:r>
    </w:p>
    <w:p w:rsidR="00113711" w:rsidRDefault="00511D96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156</w:t>
      </w:r>
      <w:r w:rsidR="00113711" w:rsidRPr="00113711">
        <w:rPr>
          <w:rFonts w:ascii="Times New Roman" w:hAnsi="Times New Roman" w:cs="Times New Roman"/>
          <w:b/>
        </w:rPr>
        <w:t xml:space="preserve"> Potraživanje za prihode iz proračuna</w:t>
      </w:r>
    </w:p>
    <w:p w:rsidR="00113711" w:rsidRPr="00113711" w:rsidRDefault="00113711" w:rsidP="007A42DC">
      <w:pPr>
        <w:spacing w:line="240" w:lineRule="auto"/>
        <w:jc w:val="both"/>
        <w:rPr>
          <w:rFonts w:ascii="Times New Roman" w:hAnsi="Times New Roman" w:cs="Times New Roman"/>
        </w:rPr>
      </w:pPr>
      <w:r w:rsidRPr="00405BC6">
        <w:rPr>
          <w:rFonts w:ascii="Times New Roman" w:hAnsi="Times New Roman" w:cs="Times New Roman"/>
        </w:rPr>
        <w:t xml:space="preserve">Konto 167 predstavlja </w:t>
      </w:r>
      <w:r>
        <w:rPr>
          <w:rFonts w:ascii="Times New Roman" w:hAnsi="Times New Roman" w:cs="Times New Roman"/>
        </w:rPr>
        <w:t>naš žiro račun za sredstva koja su uplaćena u proračun koji je nama nadležan.</w:t>
      </w:r>
    </w:p>
    <w:p w:rsidR="00924036" w:rsidRDefault="00924036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556CE1">
        <w:rPr>
          <w:rFonts w:ascii="Times New Roman" w:hAnsi="Times New Roman" w:cs="Times New Roman"/>
          <w:b/>
          <w:bCs/>
        </w:rPr>
        <w:t>OP 170</w:t>
      </w:r>
      <w:r w:rsidR="004C5EAC" w:rsidRPr="00004FD9">
        <w:rPr>
          <w:rFonts w:ascii="Times New Roman" w:hAnsi="Times New Roman" w:cs="Times New Roman"/>
          <w:b/>
          <w:bCs/>
        </w:rPr>
        <w:t xml:space="preserve"> Obveze</w:t>
      </w:r>
    </w:p>
    <w:p w:rsidR="00556CE1" w:rsidRDefault="00924036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C5EAC" w:rsidRPr="00004FD9">
        <w:rPr>
          <w:rFonts w:ascii="Times New Roman" w:hAnsi="Times New Roman" w:cs="Times New Roman"/>
        </w:rPr>
        <w:t xml:space="preserve">znos od </w:t>
      </w:r>
      <w:r w:rsidR="00556CE1">
        <w:rPr>
          <w:rFonts w:ascii="Times New Roman" w:hAnsi="Times New Roman" w:cs="Times New Roman"/>
        </w:rPr>
        <w:t>102.007</w:t>
      </w:r>
      <w:r w:rsidR="004C5EAC" w:rsidRPr="00004FD9">
        <w:rPr>
          <w:rFonts w:ascii="Times New Roman" w:hAnsi="Times New Roman" w:cs="Times New Roman"/>
        </w:rPr>
        <w:t xml:space="preserve">  kn </w:t>
      </w:r>
      <w:r w:rsidR="00556CE1">
        <w:rPr>
          <w:rFonts w:ascii="Times New Roman" w:hAnsi="Times New Roman" w:cs="Times New Roman"/>
        </w:rPr>
        <w:t>. O</w:t>
      </w:r>
      <w:r w:rsidR="004C5EAC" w:rsidRPr="00004FD9">
        <w:rPr>
          <w:rFonts w:ascii="Times New Roman" w:hAnsi="Times New Roman" w:cs="Times New Roman"/>
        </w:rPr>
        <w:t xml:space="preserve">dnosi se na obveze za zaposlene </w:t>
      </w:r>
      <w:r w:rsidR="00556CE1">
        <w:rPr>
          <w:rFonts w:ascii="Times New Roman" w:hAnsi="Times New Roman" w:cs="Times New Roman"/>
        </w:rPr>
        <w:t xml:space="preserve">za plaću za 12/21, isplata u siječnju 2022.; obveze za </w:t>
      </w:r>
      <w:r w:rsidR="004C5EAC" w:rsidRPr="00004FD9">
        <w:rPr>
          <w:rFonts w:ascii="Times New Roman" w:hAnsi="Times New Roman" w:cs="Times New Roman"/>
        </w:rPr>
        <w:t xml:space="preserve"> materijalne rashode</w:t>
      </w:r>
      <w:r w:rsidR="00556CE1">
        <w:rPr>
          <w:rFonts w:ascii="Times New Roman" w:hAnsi="Times New Roman" w:cs="Times New Roman"/>
        </w:rPr>
        <w:t xml:space="preserve"> 57.685 kn, financijske rashode 75 kn, te obveze za nabavku nefinancijske imovine 8.536 kn.</w:t>
      </w:r>
    </w:p>
    <w:p w:rsidR="004C5EAC" w:rsidRDefault="008A5A97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AOP 23</w:t>
      </w:r>
      <w:r w:rsidR="00777337">
        <w:rPr>
          <w:rFonts w:ascii="Times New Roman" w:hAnsi="Times New Roman" w:cs="Times New Roman"/>
          <w:b/>
          <w:bCs/>
        </w:rPr>
        <w:t>9</w:t>
      </w:r>
      <w:r w:rsidR="004C5EAC" w:rsidRPr="00004FD9">
        <w:rPr>
          <w:rFonts w:ascii="Times New Roman" w:hAnsi="Times New Roman" w:cs="Times New Roman"/>
          <w:b/>
          <w:bCs/>
        </w:rPr>
        <w:t xml:space="preserve"> Višak</w:t>
      </w:r>
      <w:r w:rsidR="00777337">
        <w:rPr>
          <w:rFonts w:ascii="Times New Roman" w:hAnsi="Times New Roman" w:cs="Times New Roman"/>
          <w:b/>
          <w:bCs/>
        </w:rPr>
        <w:t>/manjak</w:t>
      </w:r>
      <w:r w:rsidR="004C5EAC" w:rsidRPr="00004FD9">
        <w:rPr>
          <w:rFonts w:ascii="Times New Roman" w:hAnsi="Times New Roman" w:cs="Times New Roman"/>
          <w:b/>
          <w:bCs/>
        </w:rPr>
        <w:t xml:space="preserve"> prihoda </w:t>
      </w:r>
    </w:p>
    <w:p w:rsidR="00D67B7F" w:rsidRDefault="00D67B7F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u bilanci iskazani su nakon p</w:t>
      </w:r>
      <w:r w:rsidR="00777337">
        <w:rPr>
          <w:rFonts w:ascii="Times New Roman" w:hAnsi="Times New Roman" w:cs="Times New Roman"/>
        </w:rPr>
        <w:t>rovedene obvezne korekcije rezultata za kapitalne prijenose sredstava</w:t>
      </w:r>
      <w:r w:rsidR="0086534E">
        <w:rPr>
          <w:rFonts w:ascii="Times New Roman" w:hAnsi="Times New Roman" w:cs="Times New Roman"/>
        </w:rPr>
        <w:t xml:space="preserve"> kojima se financira nabava nefinancijske imovine</w:t>
      </w:r>
      <w:r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1214"/>
        <w:gridCol w:w="2502"/>
        <w:gridCol w:w="1858"/>
      </w:tblGrid>
      <w:tr w:rsidR="00D67B7F" w:rsidTr="00D67B7F">
        <w:tc>
          <w:tcPr>
            <w:tcW w:w="959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PR-RAS</w:t>
            </w:r>
          </w:p>
        </w:tc>
        <w:tc>
          <w:tcPr>
            <w:tcW w:w="2502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Korekcija rezultata za kapitalne prijenose</w:t>
            </w:r>
          </w:p>
        </w:tc>
        <w:tc>
          <w:tcPr>
            <w:tcW w:w="1858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Bilanca</w:t>
            </w:r>
          </w:p>
        </w:tc>
      </w:tr>
      <w:tr w:rsidR="00D67B7F" w:rsidTr="00D67B7F">
        <w:tc>
          <w:tcPr>
            <w:tcW w:w="959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92211</w:t>
            </w:r>
          </w:p>
        </w:tc>
        <w:tc>
          <w:tcPr>
            <w:tcW w:w="2755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poslovanja</w:t>
            </w:r>
          </w:p>
        </w:tc>
        <w:tc>
          <w:tcPr>
            <w:tcW w:w="1214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167.474</w:t>
            </w:r>
          </w:p>
        </w:tc>
        <w:tc>
          <w:tcPr>
            <w:tcW w:w="2502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- 134.644</w:t>
            </w:r>
          </w:p>
        </w:tc>
        <w:tc>
          <w:tcPr>
            <w:tcW w:w="1858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32.830</w:t>
            </w:r>
          </w:p>
        </w:tc>
      </w:tr>
      <w:tr w:rsidR="00D67B7F" w:rsidTr="00D67B7F">
        <w:tc>
          <w:tcPr>
            <w:tcW w:w="959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92222</w:t>
            </w:r>
          </w:p>
        </w:tc>
        <w:tc>
          <w:tcPr>
            <w:tcW w:w="2755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Manjak prihoda od </w:t>
            </w:r>
            <w:proofErr w:type="spellStart"/>
            <w:r>
              <w:rPr>
                <w:rFonts w:ascii="Times New Roman" w:hAnsi="Times New Roman" w:cs="Times New Roman"/>
              </w:rPr>
              <w:t>nefin.imovine</w:t>
            </w:r>
            <w:proofErr w:type="spellEnd"/>
          </w:p>
        </w:tc>
        <w:tc>
          <w:tcPr>
            <w:tcW w:w="1214" w:type="dxa"/>
          </w:tcPr>
          <w:p w:rsidR="00D67B7F" w:rsidRPr="00D67B7F" w:rsidRDefault="00D67B7F" w:rsidP="00D67B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67B7F">
              <w:rPr>
                <w:rFonts w:ascii="Times New Roman" w:hAnsi="Times New Roman" w:cs="Times New Roman"/>
              </w:rPr>
              <w:t>175.449</w:t>
            </w:r>
          </w:p>
        </w:tc>
        <w:tc>
          <w:tcPr>
            <w:tcW w:w="2502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+ 134.644</w:t>
            </w:r>
          </w:p>
        </w:tc>
        <w:tc>
          <w:tcPr>
            <w:tcW w:w="1858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40.805</w:t>
            </w:r>
          </w:p>
        </w:tc>
      </w:tr>
      <w:tr w:rsidR="00D67B7F" w:rsidTr="00D67B7F">
        <w:tc>
          <w:tcPr>
            <w:tcW w:w="959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55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Višak/manjak prihoda</w:t>
            </w:r>
          </w:p>
        </w:tc>
        <w:tc>
          <w:tcPr>
            <w:tcW w:w="1214" w:type="dxa"/>
          </w:tcPr>
          <w:p w:rsidR="00D67B7F" w:rsidRDefault="00D67B7F" w:rsidP="00D67B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-7.975</w:t>
            </w:r>
          </w:p>
        </w:tc>
        <w:tc>
          <w:tcPr>
            <w:tcW w:w="2502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D67B7F" w:rsidRDefault="00D67B7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-7.975</w:t>
            </w:r>
          </w:p>
        </w:tc>
      </w:tr>
    </w:tbl>
    <w:p w:rsidR="007A42DC" w:rsidRDefault="007A42DC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777337" w:rsidRDefault="00D67B7F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Korekcija rezultata </w:t>
      </w:r>
      <w:r w:rsidR="0086534E">
        <w:rPr>
          <w:rFonts w:ascii="Times New Roman" w:hAnsi="Times New Roman" w:cs="Times New Roman"/>
        </w:rPr>
        <w:t xml:space="preserve">za kapitalne prijenose </w:t>
      </w:r>
      <w:r>
        <w:rPr>
          <w:rFonts w:ascii="Times New Roman" w:hAnsi="Times New Roman" w:cs="Times New Roman"/>
        </w:rPr>
        <w:t>od</w:t>
      </w:r>
      <w:r w:rsidR="0086534E">
        <w:rPr>
          <w:rFonts w:ascii="Times New Roman" w:hAnsi="Times New Roman" w:cs="Times New Roman"/>
        </w:rPr>
        <w:t xml:space="preserve"> proračuna koji nam nije nadležan iznos</w:t>
      </w:r>
      <w:r>
        <w:rPr>
          <w:rFonts w:ascii="Times New Roman" w:hAnsi="Times New Roman" w:cs="Times New Roman"/>
        </w:rPr>
        <w:t>i</w:t>
      </w:r>
      <w:r w:rsidR="0086534E">
        <w:rPr>
          <w:rFonts w:ascii="Times New Roman" w:hAnsi="Times New Roman" w:cs="Times New Roman"/>
        </w:rPr>
        <w:t xml:space="preserve"> 90.000 kn</w:t>
      </w:r>
      <w:r>
        <w:rPr>
          <w:rFonts w:ascii="Times New Roman" w:hAnsi="Times New Roman" w:cs="Times New Roman"/>
        </w:rPr>
        <w:t>,</w:t>
      </w:r>
      <w:r w:rsidRPr="00D67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kapitalne prijenose od nadležnog proračuna 38.959  kn,</w:t>
      </w:r>
      <w:r w:rsidR="0086534E">
        <w:rPr>
          <w:rFonts w:ascii="Times New Roman" w:hAnsi="Times New Roman" w:cs="Times New Roman"/>
        </w:rPr>
        <w:t xml:space="preserve"> te donacije ostalih osoba 5.685 kn, na način da se zadužuje račun viška prihoda poslovanja, a odobrava račun manjka prihoda od nefinancijske imovine.</w:t>
      </w:r>
    </w:p>
    <w:p w:rsidR="00777337" w:rsidRDefault="00777337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777337">
        <w:rPr>
          <w:rFonts w:ascii="Times New Roman" w:hAnsi="Times New Roman" w:cs="Times New Roman"/>
          <w:b/>
          <w:bCs/>
        </w:rPr>
        <w:lastRenderedPageBreak/>
        <w:t>Popis ugovornih obveza</w:t>
      </w:r>
    </w:p>
    <w:p w:rsidR="00777337" w:rsidRDefault="00777337" w:rsidP="004C5EA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Gradska knjižnica Labin nema ugovornih odnosa koji uz ispunjenje određenih uvjeta mogu postati obveza ili imovina.</w:t>
      </w:r>
    </w:p>
    <w:p w:rsidR="007A42DC" w:rsidRDefault="00777337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777337">
        <w:rPr>
          <w:rFonts w:ascii="Times New Roman" w:hAnsi="Times New Roman" w:cs="Times New Roman"/>
          <w:b/>
          <w:bCs/>
        </w:rPr>
        <w:t xml:space="preserve">Popis </w:t>
      </w:r>
      <w:r>
        <w:rPr>
          <w:rFonts w:ascii="Times New Roman" w:hAnsi="Times New Roman" w:cs="Times New Roman"/>
          <w:b/>
          <w:bCs/>
        </w:rPr>
        <w:t>sudskih sporova u tijeku</w:t>
      </w:r>
    </w:p>
    <w:p w:rsidR="00777337" w:rsidRPr="00777337" w:rsidRDefault="00777337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77337">
        <w:rPr>
          <w:rFonts w:ascii="Times New Roman" w:hAnsi="Times New Roman" w:cs="Times New Roman"/>
          <w:bCs/>
        </w:rPr>
        <w:t xml:space="preserve">Gradska knjižnica Labin </w:t>
      </w:r>
      <w:r>
        <w:rPr>
          <w:rFonts w:ascii="Times New Roman" w:hAnsi="Times New Roman" w:cs="Times New Roman"/>
          <w:bCs/>
        </w:rPr>
        <w:t>nema potencijalnih obveza po osnovi sudskih sporova u tijeku.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P-VRIO</w:t>
      </w:r>
    </w:p>
    <w:p w:rsidR="00924036" w:rsidRDefault="00556CE1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Odnosi se na </w:t>
      </w:r>
      <w:r w:rsidR="00367495">
        <w:rPr>
          <w:rFonts w:ascii="Times New Roman" w:hAnsi="Times New Roman" w:cs="Times New Roman"/>
          <w:b/>
          <w:bCs/>
        </w:rPr>
        <w:t xml:space="preserve"> </w:t>
      </w:r>
      <w:r w:rsidR="00367495">
        <w:rPr>
          <w:rFonts w:ascii="Times New Roman" w:hAnsi="Times New Roman" w:cs="Times New Roman"/>
        </w:rPr>
        <w:t>promjen</w:t>
      </w:r>
      <w:r w:rsidR="002711F5">
        <w:rPr>
          <w:rFonts w:ascii="Times New Roman" w:hAnsi="Times New Roman" w:cs="Times New Roman"/>
        </w:rPr>
        <w:t>u</w:t>
      </w:r>
      <w:r w:rsidR="00367495">
        <w:rPr>
          <w:rFonts w:ascii="Times New Roman" w:hAnsi="Times New Roman" w:cs="Times New Roman"/>
        </w:rPr>
        <w:t xml:space="preserve"> u obujmu imovine u </w:t>
      </w:r>
      <w:r>
        <w:rPr>
          <w:rFonts w:ascii="Times New Roman" w:hAnsi="Times New Roman" w:cs="Times New Roman"/>
        </w:rPr>
        <w:t>iznosu 74.625 kn za knjige primljene iz pomoći proračuna koji nam nisu nadležni.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IZVJEŠTAJ O OBVEZAMA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001 Stanje obveza 01. siječnja 20</w:t>
      </w:r>
      <w:r w:rsidR="00EA1E96">
        <w:rPr>
          <w:rFonts w:ascii="Times New Roman" w:hAnsi="Times New Roman" w:cs="Times New Roman"/>
          <w:b/>
          <w:bCs/>
        </w:rPr>
        <w:t>2</w:t>
      </w:r>
      <w:r w:rsidR="007A42DC">
        <w:rPr>
          <w:rFonts w:ascii="Times New Roman" w:hAnsi="Times New Roman" w:cs="Times New Roman"/>
          <w:b/>
          <w:bCs/>
        </w:rPr>
        <w:t>1</w:t>
      </w:r>
      <w:r w:rsidRPr="00004FD9">
        <w:rPr>
          <w:rFonts w:ascii="Times New Roman" w:hAnsi="Times New Roman" w:cs="Times New Roman"/>
          <w:b/>
          <w:bCs/>
        </w:rPr>
        <w:t>. Godine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>Stanje obveza 01. siječnja 20</w:t>
      </w:r>
      <w:r w:rsidR="00EA1E96">
        <w:rPr>
          <w:rFonts w:ascii="Times New Roman" w:hAnsi="Times New Roman" w:cs="Times New Roman"/>
          <w:bCs/>
        </w:rPr>
        <w:t>2</w:t>
      </w:r>
      <w:r w:rsidR="007A42DC">
        <w:rPr>
          <w:rFonts w:ascii="Times New Roman" w:hAnsi="Times New Roman" w:cs="Times New Roman"/>
          <w:bCs/>
        </w:rPr>
        <w:t>1</w:t>
      </w:r>
      <w:r w:rsidRPr="00004FD9">
        <w:rPr>
          <w:rFonts w:ascii="Times New Roman" w:hAnsi="Times New Roman" w:cs="Times New Roman"/>
          <w:bCs/>
        </w:rPr>
        <w:t xml:space="preserve">. godine iznosile su </w:t>
      </w:r>
      <w:r w:rsidR="007A42DC">
        <w:rPr>
          <w:rFonts w:ascii="Times New Roman" w:hAnsi="Times New Roman" w:cs="Times New Roman"/>
          <w:bCs/>
        </w:rPr>
        <w:t>67.049</w:t>
      </w:r>
      <w:r w:rsidRPr="00004FD9">
        <w:rPr>
          <w:rFonts w:ascii="Times New Roman" w:hAnsi="Times New Roman" w:cs="Times New Roman"/>
          <w:bCs/>
        </w:rPr>
        <w:t xml:space="preserve"> kn te su sve podmirene tijekom 20</w:t>
      </w:r>
      <w:r w:rsidR="00EA1E96">
        <w:rPr>
          <w:rFonts w:ascii="Times New Roman" w:hAnsi="Times New Roman" w:cs="Times New Roman"/>
          <w:bCs/>
        </w:rPr>
        <w:t>2</w:t>
      </w:r>
      <w:r w:rsidR="007A42DC">
        <w:rPr>
          <w:rFonts w:ascii="Times New Roman" w:hAnsi="Times New Roman" w:cs="Times New Roman"/>
          <w:bCs/>
        </w:rPr>
        <w:t>1</w:t>
      </w:r>
      <w:r w:rsidRPr="00004FD9">
        <w:rPr>
          <w:rFonts w:ascii="Times New Roman" w:hAnsi="Times New Roman" w:cs="Times New Roman"/>
          <w:bCs/>
        </w:rPr>
        <w:t>. godine prema rokovima dospijeća.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AOP 036  Stanje obveza na kraju izvještajnog razdoblja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Ukupno stanje obveza na kraju 20</w:t>
      </w:r>
      <w:r w:rsidR="00680F20">
        <w:rPr>
          <w:rFonts w:ascii="Times New Roman" w:hAnsi="Times New Roman" w:cs="Times New Roman"/>
        </w:rPr>
        <w:t>2</w:t>
      </w:r>
      <w:r w:rsidR="007A42DC">
        <w:rPr>
          <w:rFonts w:ascii="Times New Roman" w:hAnsi="Times New Roman" w:cs="Times New Roman"/>
        </w:rPr>
        <w:t>1</w:t>
      </w:r>
      <w:r w:rsidRPr="00004FD9">
        <w:rPr>
          <w:rFonts w:ascii="Times New Roman" w:hAnsi="Times New Roman" w:cs="Times New Roman"/>
        </w:rPr>
        <w:t xml:space="preserve">. godine iznosi </w:t>
      </w:r>
      <w:r w:rsidR="007A42DC">
        <w:rPr>
          <w:rFonts w:ascii="Times New Roman" w:hAnsi="Times New Roman" w:cs="Times New Roman"/>
        </w:rPr>
        <w:t>102.007</w:t>
      </w:r>
      <w:r w:rsidRPr="00004FD9">
        <w:rPr>
          <w:rFonts w:ascii="Times New Roman" w:hAnsi="Times New Roman" w:cs="Times New Roman"/>
        </w:rPr>
        <w:t xml:space="preserve"> kn</w:t>
      </w:r>
      <w:r w:rsidR="007A42DC">
        <w:rPr>
          <w:rFonts w:ascii="Times New Roman" w:hAnsi="Times New Roman" w:cs="Times New Roman"/>
        </w:rPr>
        <w:t>, a odnose</w:t>
      </w:r>
      <w:r w:rsidRPr="00004FD9">
        <w:rPr>
          <w:rFonts w:ascii="Times New Roman" w:hAnsi="Times New Roman" w:cs="Times New Roman"/>
        </w:rPr>
        <w:t xml:space="preserve"> se na obveze za plaću 12/20</w:t>
      </w:r>
      <w:r w:rsidR="00EA1E96">
        <w:rPr>
          <w:rFonts w:ascii="Times New Roman" w:hAnsi="Times New Roman" w:cs="Times New Roman"/>
        </w:rPr>
        <w:t>2</w:t>
      </w:r>
      <w:r w:rsidR="007A42DC">
        <w:rPr>
          <w:rFonts w:ascii="Times New Roman" w:hAnsi="Times New Roman" w:cs="Times New Roman"/>
        </w:rPr>
        <w:t>1</w:t>
      </w:r>
      <w:r w:rsidRPr="00004FD9">
        <w:rPr>
          <w:rFonts w:ascii="Times New Roman" w:hAnsi="Times New Roman" w:cs="Times New Roman"/>
        </w:rPr>
        <w:t>. koja je isplaćena u 202</w:t>
      </w:r>
      <w:r w:rsidR="007A42DC">
        <w:rPr>
          <w:rFonts w:ascii="Times New Roman" w:hAnsi="Times New Roman" w:cs="Times New Roman"/>
        </w:rPr>
        <w:t>2</w:t>
      </w:r>
      <w:r w:rsidR="00EA1E96">
        <w:rPr>
          <w:rFonts w:ascii="Times New Roman" w:hAnsi="Times New Roman" w:cs="Times New Roman"/>
        </w:rPr>
        <w:t>. , te obveze</w:t>
      </w:r>
      <w:r w:rsidRPr="00004FD9">
        <w:rPr>
          <w:rFonts w:ascii="Times New Roman" w:hAnsi="Times New Roman" w:cs="Times New Roman"/>
        </w:rPr>
        <w:t xml:space="preserve"> za materijalne rashode za 12/20</w:t>
      </w:r>
      <w:r w:rsidR="00EA1E96">
        <w:rPr>
          <w:rFonts w:ascii="Times New Roman" w:hAnsi="Times New Roman" w:cs="Times New Roman"/>
        </w:rPr>
        <w:t>2</w:t>
      </w:r>
      <w:r w:rsidR="007A42DC">
        <w:rPr>
          <w:rFonts w:ascii="Times New Roman" w:hAnsi="Times New Roman" w:cs="Times New Roman"/>
        </w:rPr>
        <w:t>1</w:t>
      </w:r>
      <w:r w:rsidRPr="00004FD9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na dan 31.12.2020.</w:t>
            </w:r>
          </w:p>
        </w:tc>
        <w:tc>
          <w:tcPr>
            <w:tcW w:w="3096" w:type="dxa"/>
          </w:tcPr>
          <w:p w:rsidR="007A42DC" w:rsidRDefault="007A42DC" w:rsidP="00107B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na dan 31.12.2020.</w:t>
            </w: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zaposlene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45.454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35.711</w:t>
            </w: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materijalne rashode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21.520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57.685</w:t>
            </w: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financijske rashode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nabavu nematerijalne imovine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8.536</w:t>
            </w:r>
          </w:p>
        </w:tc>
      </w:tr>
      <w:tr w:rsidR="007A42DC" w:rsidTr="007A42DC">
        <w:tc>
          <w:tcPr>
            <w:tcW w:w="3096" w:type="dxa"/>
          </w:tcPr>
          <w:p w:rsidR="007A42DC" w:rsidRPr="007A42DC" w:rsidRDefault="007A42DC" w:rsidP="004C5E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42DC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3096" w:type="dxa"/>
          </w:tcPr>
          <w:p w:rsidR="007A42DC" w:rsidRPr="007A42DC" w:rsidRDefault="007A42DC" w:rsidP="004C5E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42DC">
              <w:rPr>
                <w:rFonts w:ascii="Times New Roman" w:hAnsi="Times New Roman" w:cs="Times New Roman"/>
                <w:b/>
              </w:rPr>
              <w:t>67.049</w:t>
            </w:r>
          </w:p>
        </w:tc>
        <w:tc>
          <w:tcPr>
            <w:tcW w:w="3096" w:type="dxa"/>
          </w:tcPr>
          <w:p w:rsidR="007A42DC" w:rsidRPr="007A42DC" w:rsidRDefault="007A42DC" w:rsidP="007A42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42DC">
              <w:rPr>
                <w:rFonts w:ascii="Times New Roman" w:hAnsi="Times New Roman" w:cs="Times New Roman"/>
                <w:b/>
              </w:rPr>
              <w:t>102.007</w:t>
            </w:r>
          </w:p>
        </w:tc>
      </w:tr>
    </w:tbl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lastRenderedPageBreak/>
        <w:t>BILJEŠKE UZ OBRAZAC  RAS - funkcijski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Stanje ostvareno u tekućoj godini u iznosu od </w:t>
      </w:r>
      <w:r w:rsidR="007A42DC">
        <w:rPr>
          <w:rFonts w:ascii="Times New Roman" w:hAnsi="Times New Roman" w:cs="Times New Roman"/>
        </w:rPr>
        <w:t>1.005.363</w:t>
      </w:r>
      <w:r w:rsidRPr="00004FD9">
        <w:rPr>
          <w:rFonts w:ascii="Times New Roman" w:hAnsi="Times New Roman" w:cs="Times New Roman"/>
        </w:rPr>
        <w:t xml:space="preserve"> kn  odgovara zbroju rashoda poslovanja AOP 40</w:t>
      </w:r>
      <w:r w:rsidR="007A42DC">
        <w:rPr>
          <w:rFonts w:ascii="Times New Roman" w:hAnsi="Times New Roman" w:cs="Times New Roman"/>
        </w:rPr>
        <w:t>7</w:t>
      </w:r>
      <w:r w:rsidRPr="00004FD9">
        <w:rPr>
          <w:rFonts w:ascii="Times New Roman" w:hAnsi="Times New Roman" w:cs="Times New Roman"/>
        </w:rPr>
        <w:t xml:space="preserve"> PR-RAS.</w:t>
      </w:r>
    </w:p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E272CF" w:rsidRPr="00004FD9" w:rsidRDefault="00E272CF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U Labinu, </w:t>
      </w:r>
      <w:r w:rsidR="00717F65">
        <w:rPr>
          <w:rFonts w:ascii="Times New Roman" w:hAnsi="Times New Roman" w:cs="Times New Roman"/>
        </w:rPr>
        <w:t>2</w:t>
      </w:r>
      <w:r w:rsidR="007A42DC">
        <w:rPr>
          <w:rFonts w:ascii="Times New Roman" w:hAnsi="Times New Roman" w:cs="Times New Roman"/>
        </w:rPr>
        <w:t>8</w:t>
      </w:r>
      <w:r w:rsidR="00717F65">
        <w:rPr>
          <w:rFonts w:ascii="Times New Roman" w:hAnsi="Times New Roman" w:cs="Times New Roman"/>
        </w:rPr>
        <w:t>.01</w:t>
      </w:r>
      <w:r w:rsidR="00826EE3">
        <w:rPr>
          <w:rFonts w:ascii="Times New Roman" w:hAnsi="Times New Roman" w:cs="Times New Roman"/>
        </w:rPr>
        <w:t>.202</w:t>
      </w:r>
      <w:r w:rsidR="007A42DC">
        <w:rPr>
          <w:rFonts w:ascii="Times New Roman" w:hAnsi="Times New Roman" w:cs="Times New Roman"/>
        </w:rPr>
        <w:t>2</w:t>
      </w:r>
      <w:r w:rsidRPr="00004FD9">
        <w:rPr>
          <w:rFonts w:ascii="Times New Roman" w:hAnsi="Times New Roman" w:cs="Times New Roman"/>
        </w:rPr>
        <w:t>.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Osoba za kontakt: </w:t>
      </w:r>
      <w:r w:rsidR="007A42DC">
        <w:rPr>
          <w:rFonts w:ascii="Times New Roman" w:hAnsi="Times New Roman" w:cs="Times New Roman"/>
        </w:rPr>
        <w:t>Rosana Škopac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Tel.: 052/852-257</w:t>
      </w:r>
    </w:p>
    <w:p w:rsidR="00717F65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Odgovorna osoba: Silvia </w:t>
      </w:r>
      <w:proofErr w:type="spellStart"/>
      <w:r w:rsidRPr="00004FD9">
        <w:rPr>
          <w:rFonts w:ascii="Times New Roman" w:hAnsi="Times New Roman" w:cs="Times New Roman"/>
        </w:rPr>
        <w:t>Fiamengo</w:t>
      </w:r>
      <w:proofErr w:type="spellEnd"/>
      <w:r w:rsidRPr="00004FD9">
        <w:rPr>
          <w:rFonts w:ascii="Times New Roman" w:hAnsi="Times New Roman" w:cs="Times New Roman"/>
        </w:rPr>
        <w:t xml:space="preserve">, prof. i </w:t>
      </w:r>
      <w:proofErr w:type="spellStart"/>
      <w:r w:rsidRPr="00004FD9">
        <w:rPr>
          <w:rFonts w:ascii="Times New Roman" w:hAnsi="Times New Roman" w:cs="Times New Roman"/>
        </w:rPr>
        <w:t>dipl.bibl</w:t>
      </w:r>
      <w:proofErr w:type="spellEnd"/>
      <w:r w:rsidRPr="00004FD9">
        <w:rPr>
          <w:rFonts w:ascii="Times New Roman" w:hAnsi="Times New Roman" w:cs="Times New Roman"/>
        </w:rPr>
        <w:t>.</w:t>
      </w:r>
    </w:p>
    <w:p w:rsidR="004C5EAC" w:rsidRDefault="004C5EAC" w:rsidP="004C5EAC">
      <w:pPr>
        <w:spacing w:line="360" w:lineRule="auto"/>
        <w:jc w:val="right"/>
        <w:rPr>
          <w:rFonts w:ascii="Times New Roman" w:hAnsi="Times New Roman" w:cs="Times New Roman"/>
        </w:rPr>
      </w:pPr>
    </w:p>
    <w:p w:rsidR="00E272CF" w:rsidRPr="00004FD9" w:rsidRDefault="00E272CF" w:rsidP="004C5EAC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C5EAC" w:rsidRPr="00004FD9" w:rsidRDefault="004C5EAC" w:rsidP="004C5EAC">
      <w:pPr>
        <w:spacing w:line="360" w:lineRule="auto"/>
        <w:jc w:val="right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Ravnateljica:</w:t>
      </w:r>
    </w:p>
    <w:p w:rsidR="004C5EAC" w:rsidRPr="004C5EAC" w:rsidRDefault="004C5EAC" w:rsidP="007A42DC">
      <w:pPr>
        <w:spacing w:line="360" w:lineRule="auto"/>
      </w:pPr>
      <w:r w:rsidRPr="00004F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17F65">
        <w:rPr>
          <w:rFonts w:ascii="Times New Roman" w:hAnsi="Times New Roman" w:cs="Times New Roman"/>
        </w:rPr>
        <w:t xml:space="preserve">               </w:t>
      </w:r>
      <w:r w:rsidRPr="00004FD9">
        <w:rPr>
          <w:rFonts w:ascii="Times New Roman" w:hAnsi="Times New Roman" w:cs="Times New Roman"/>
        </w:rPr>
        <w:t xml:space="preserve">    Silvia </w:t>
      </w:r>
      <w:proofErr w:type="spellStart"/>
      <w:r w:rsidRPr="00004FD9">
        <w:rPr>
          <w:rFonts w:ascii="Times New Roman" w:hAnsi="Times New Roman" w:cs="Times New Roman"/>
        </w:rPr>
        <w:t>Fiamengo</w:t>
      </w:r>
      <w:proofErr w:type="spellEnd"/>
      <w:r w:rsidRPr="00004FD9">
        <w:rPr>
          <w:rFonts w:ascii="Times New Roman" w:hAnsi="Times New Roman" w:cs="Times New Roman"/>
        </w:rPr>
        <w:t xml:space="preserve">, prof. i </w:t>
      </w:r>
      <w:proofErr w:type="spellStart"/>
      <w:r w:rsidRPr="00004FD9">
        <w:rPr>
          <w:rFonts w:ascii="Times New Roman" w:hAnsi="Times New Roman" w:cs="Times New Roman"/>
        </w:rPr>
        <w:t>dipl.bibl</w:t>
      </w:r>
      <w:proofErr w:type="spellEnd"/>
      <w:r w:rsidRPr="00004FD9">
        <w:rPr>
          <w:rFonts w:ascii="Times New Roman" w:hAnsi="Times New Roman" w:cs="Times New Roman"/>
        </w:rPr>
        <w:t>.</w:t>
      </w:r>
    </w:p>
    <w:sectPr w:rsidR="004C5EAC" w:rsidRPr="004C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47AB"/>
    <w:multiLevelType w:val="hybridMultilevel"/>
    <w:tmpl w:val="2A184F2E"/>
    <w:lvl w:ilvl="0" w:tplc="E00A9958">
      <w:start w:val="17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6"/>
    <w:rsid w:val="00113711"/>
    <w:rsid w:val="00181A72"/>
    <w:rsid w:val="002711F5"/>
    <w:rsid w:val="00287F65"/>
    <w:rsid w:val="002938A9"/>
    <w:rsid w:val="002A53CB"/>
    <w:rsid w:val="003374C7"/>
    <w:rsid w:val="00367495"/>
    <w:rsid w:val="00395E5C"/>
    <w:rsid w:val="004C5EAC"/>
    <w:rsid w:val="00510EE0"/>
    <w:rsid w:val="00511D96"/>
    <w:rsid w:val="005442D4"/>
    <w:rsid w:val="0054567A"/>
    <w:rsid w:val="00556CE1"/>
    <w:rsid w:val="00680F20"/>
    <w:rsid w:val="006A5B50"/>
    <w:rsid w:val="00717F65"/>
    <w:rsid w:val="00724D98"/>
    <w:rsid w:val="00777337"/>
    <w:rsid w:val="007927A2"/>
    <w:rsid w:val="007A42DC"/>
    <w:rsid w:val="007D0993"/>
    <w:rsid w:val="00826EE3"/>
    <w:rsid w:val="00860BBB"/>
    <w:rsid w:val="0086534E"/>
    <w:rsid w:val="00884168"/>
    <w:rsid w:val="008A5A97"/>
    <w:rsid w:val="00924036"/>
    <w:rsid w:val="009F429D"/>
    <w:rsid w:val="009F6778"/>
    <w:rsid w:val="00A26914"/>
    <w:rsid w:val="00A818A8"/>
    <w:rsid w:val="00AC1F16"/>
    <w:rsid w:val="00B734B4"/>
    <w:rsid w:val="00BA4891"/>
    <w:rsid w:val="00C33135"/>
    <w:rsid w:val="00C90CC0"/>
    <w:rsid w:val="00D35E23"/>
    <w:rsid w:val="00D67B7F"/>
    <w:rsid w:val="00E04A58"/>
    <w:rsid w:val="00E272CF"/>
    <w:rsid w:val="00EA091D"/>
    <w:rsid w:val="00EA1E96"/>
    <w:rsid w:val="00F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77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77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Knapić</dc:creator>
  <cp:keywords/>
  <dc:description/>
  <cp:lastModifiedBy>Lara Knapić</cp:lastModifiedBy>
  <cp:revision>23</cp:revision>
  <cp:lastPrinted>2021-01-29T07:19:00Z</cp:lastPrinted>
  <dcterms:created xsi:type="dcterms:W3CDTF">2021-01-27T08:58:00Z</dcterms:created>
  <dcterms:modified xsi:type="dcterms:W3CDTF">2022-01-31T08:11:00Z</dcterms:modified>
</cp:coreProperties>
</file>